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8C6D25">
        <w:rPr>
          <w:rFonts w:ascii="Arial" w:hAnsi="Arial" w:cs="Arial"/>
          <w:b/>
          <w:bCs/>
          <w:sz w:val="22"/>
          <w:szCs w:val="22"/>
        </w:rPr>
        <w:t>20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="008C6D25">
        <w:rPr>
          <w:rFonts w:ascii="Arial" w:hAnsi="Arial" w:cs="Arial"/>
          <w:sz w:val="22"/>
          <w:szCs w:val="22"/>
        </w:rPr>
        <w:t>2293</w:t>
      </w:r>
      <w:r w:rsidR="007910F2">
        <w:rPr>
          <w:rFonts w:ascii="Arial" w:hAnsi="Arial" w:cs="Arial"/>
          <w:sz w:val="22"/>
          <w:szCs w:val="22"/>
        </w:rPr>
        <w:t>-2016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4071CE">
        <w:rPr>
          <w:rFonts w:ascii="Arial" w:hAnsi="Arial"/>
          <w:szCs w:val="22"/>
        </w:rPr>
        <w:t>24</w:t>
      </w:r>
      <w:r w:rsidR="008E01B1" w:rsidRPr="007B76BC">
        <w:rPr>
          <w:rFonts w:ascii="Arial" w:hAnsi="Arial"/>
          <w:szCs w:val="22"/>
        </w:rPr>
        <w:t>/</w:t>
      </w:r>
      <w:r w:rsidR="004A2A00">
        <w:rPr>
          <w:rFonts w:ascii="Arial" w:hAnsi="Arial"/>
          <w:szCs w:val="22"/>
        </w:rPr>
        <w:t>0</w:t>
      </w:r>
      <w:r w:rsidR="00EB3582">
        <w:rPr>
          <w:rFonts w:ascii="Arial" w:hAnsi="Arial"/>
          <w:szCs w:val="22"/>
        </w:rPr>
        <w:t>5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EB3582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1176B" w:rsidRPr="007B76BC" w:rsidRDefault="008C6D2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e instalação de porta de vidro para a Unidade básica de Saúde Albert Sabin.</w:t>
      </w:r>
    </w:p>
    <w:p w:rsidR="00F44F49" w:rsidRPr="007B76BC" w:rsidRDefault="00F44F49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5960AD" w:rsidRDefault="008C6D25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Tem este projeto o objeti</w:t>
      </w:r>
      <w:r w:rsidR="00FF5E3C">
        <w:rPr>
          <w:rFonts w:ascii="Arial" w:hAnsi="Arial" w:cs="Arial"/>
          <w:b w:val="0"/>
          <w:sz w:val="22"/>
          <w:szCs w:val="22"/>
        </w:rPr>
        <w:t>v</w:t>
      </w:r>
      <w:r>
        <w:rPr>
          <w:rFonts w:ascii="Arial" w:hAnsi="Arial" w:cs="Arial"/>
          <w:b w:val="0"/>
          <w:sz w:val="22"/>
          <w:szCs w:val="22"/>
        </w:rPr>
        <w:t>o de aquisição instalação e manutenção em porta já existente para a un</w:t>
      </w:r>
      <w:r w:rsidR="00FF5E3C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dade de saúde </w:t>
      </w:r>
      <w:proofErr w:type="spellStart"/>
      <w:r>
        <w:rPr>
          <w:rFonts w:ascii="Arial" w:hAnsi="Arial" w:cs="Arial"/>
          <w:b w:val="0"/>
          <w:sz w:val="22"/>
          <w:szCs w:val="22"/>
        </w:rPr>
        <w:t>albertsabin</w:t>
      </w:r>
      <w:proofErr w:type="spellEnd"/>
      <w:r>
        <w:rPr>
          <w:rFonts w:ascii="Arial" w:hAnsi="Arial" w:cs="Arial"/>
          <w:b w:val="0"/>
          <w:sz w:val="22"/>
          <w:szCs w:val="22"/>
        </w:rPr>
        <w:t>. No mês de fevereiro um bloco da porta da referida unidade quebrou, sendo ne</w:t>
      </w:r>
      <w:r w:rsidR="00FF5E3C">
        <w:rPr>
          <w:rFonts w:ascii="Arial" w:hAnsi="Arial" w:cs="Arial"/>
          <w:b w:val="0"/>
          <w:sz w:val="22"/>
          <w:szCs w:val="22"/>
        </w:rPr>
        <w:t>cessária sua reposição o mais rá</w:t>
      </w:r>
      <w:r>
        <w:rPr>
          <w:rFonts w:ascii="Arial" w:hAnsi="Arial" w:cs="Arial"/>
          <w:b w:val="0"/>
          <w:sz w:val="22"/>
          <w:szCs w:val="22"/>
        </w:rPr>
        <w:t>pido possível. Também será realizada a manutenção das roldanas de po</w:t>
      </w:r>
      <w:r w:rsidR="00FF5E3C">
        <w:rPr>
          <w:rFonts w:ascii="Arial" w:hAnsi="Arial" w:cs="Arial"/>
          <w:b w:val="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 xml:space="preserve">tas já existente. Tal solicitação se faz necessária para garantir a </w:t>
      </w:r>
      <w:r w:rsidR="00FF5E3C">
        <w:rPr>
          <w:rFonts w:ascii="Arial" w:hAnsi="Arial" w:cs="Arial"/>
          <w:b w:val="0"/>
          <w:sz w:val="22"/>
          <w:szCs w:val="22"/>
        </w:rPr>
        <w:t>segurança dos pacientes e servidores e principalmente dos bens patrimoniais. As especificações e quant6itativos estão descritas no SAMS 50/2016.</w:t>
      </w:r>
    </w:p>
    <w:p w:rsidR="005960AD" w:rsidRPr="007B76BC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011CF8" w:rsidRPr="00011CF8" w:rsidRDefault="00011CF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011CF8">
        <w:rPr>
          <w:rFonts w:ascii="Arial" w:hAnsi="Arial" w:cs="Arial"/>
          <w:sz w:val="22"/>
          <w:szCs w:val="22"/>
        </w:rPr>
        <w:t xml:space="preserve">As despesas correrão por conta do elemento de despesa </w:t>
      </w:r>
      <w:r w:rsidR="00710BB2">
        <w:rPr>
          <w:rFonts w:ascii="Arial" w:hAnsi="Arial" w:cs="Arial"/>
          <w:sz w:val="22"/>
          <w:szCs w:val="22"/>
        </w:rPr>
        <w:t>33.90.30</w:t>
      </w:r>
      <w:r w:rsidR="005960AD">
        <w:rPr>
          <w:rFonts w:ascii="Arial" w:hAnsi="Arial" w:cs="Arial"/>
          <w:sz w:val="22"/>
          <w:szCs w:val="22"/>
        </w:rPr>
        <w:t xml:space="preserve"> e 33.90.39</w:t>
      </w:r>
      <w:r w:rsidRPr="00011CF8">
        <w:rPr>
          <w:rFonts w:ascii="Arial" w:hAnsi="Arial" w:cs="Arial"/>
          <w:sz w:val="22"/>
          <w:szCs w:val="22"/>
        </w:rPr>
        <w:t>, p</w:t>
      </w:r>
      <w:r w:rsidRPr="00011CF8">
        <w:rPr>
          <w:rFonts w:ascii="Arial" w:hAnsi="Arial" w:cs="Arial"/>
          <w:bCs/>
          <w:sz w:val="22"/>
          <w:szCs w:val="22"/>
        </w:rPr>
        <w:t xml:space="preserve">rojeto atividade </w:t>
      </w:r>
      <w:r w:rsidR="00FF5E3C">
        <w:rPr>
          <w:rFonts w:ascii="Arial" w:hAnsi="Arial" w:cs="Arial"/>
          <w:bCs/>
          <w:sz w:val="22"/>
          <w:szCs w:val="22"/>
        </w:rPr>
        <w:t>2.253.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Forma indireta.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667D7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efetuado</w:t>
      </w:r>
      <w:r w:rsidR="00D9536D" w:rsidRPr="007B76BC">
        <w:rPr>
          <w:rFonts w:ascii="Arial" w:hAnsi="Arial" w:cs="Arial"/>
          <w:sz w:val="22"/>
          <w:szCs w:val="22"/>
        </w:rPr>
        <w:t xml:space="preserve"> em até 30 (trinta) dias,</w:t>
      </w:r>
      <w:r w:rsidRPr="007B76BC">
        <w:rPr>
          <w:rFonts w:ascii="Arial" w:hAnsi="Arial" w:cs="Arial"/>
          <w:sz w:val="22"/>
          <w:szCs w:val="22"/>
        </w:rPr>
        <w:t xml:space="preserve"> após a entrega do material</w:t>
      </w:r>
      <w:r w:rsidR="00FF5E3C">
        <w:rPr>
          <w:rFonts w:ascii="Arial" w:hAnsi="Arial" w:cs="Arial"/>
          <w:sz w:val="22"/>
          <w:szCs w:val="22"/>
        </w:rPr>
        <w:t xml:space="preserve"> e serviço</w:t>
      </w:r>
      <w:r w:rsidRPr="007B76BC">
        <w:rPr>
          <w:rFonts w:ascii="Arial" w:hAnsi="Arial" w:cs="Arial"/>
          <w:sz w:val="22"/>
          <w:szCs w:val="22"/>
        </w:rPr>
        <w:t>, e conforme a emissão da nota fiscal com os respectivos orçamentos devidamente autorizados, que serão atestados e encaminhados ao setor competente para o pagamento da despesa.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B5F84">
        <w:rPr>
          <w:rFonts w:ascii="Arial" w:hAnsi="Arial" w:cs="Arial"/>
          <w:sz w:val="22"/>
          <w:szCs w:val="22"/>
        </w:rPr>
        <w:t xml:space="preserve">icando a comissão de recebimento de material responsável </w:t>
      </w:r>
      <w:r>
        <w:rPr>
          <w:rFonts w:ascii="Arial" w:hAnsi="Arial" w:cs="Arial"/>
          <w:sz w:val="22"/>
          <w:szCs w:val="22"/>
        </w:rPr>
        <w:t>pelo recebimento e fiscalização, tanto pelo item entregue, quanto pelo serviço executado.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Entregar no almoxarifado central as peças solicitas, após a liberação e emissão denota de empenho;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Prestar serviço de ótima qualidade, com garantia mínima dos serviços;</w:t>
      </w:r>
    </w:p>
    <w:p w:rsidR="00BB07AF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Manter enquanto estiver em vigo o contrato, as exigência do edital no que diz respeito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habilitação;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Responder por todas as obrigações trabalhistas e previdenciárias referente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contratação;</w:t>
      </w:r>
    </w:p>
    <w:p w:rsidR="00284210" w:rsidRPr="009B5F84" w:rsidRDefault="00835F80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Fica a cargo da Contratante, exercer ampla, irrestrita, e permanente fiscalização durante toda a execução da entrega dos produtos, bem como estabelecer parâmetrose diretrizes na execução, aplicando à </w:t>
      </w:r>
      <w:r w:rsidR="00976921">
        <w:rPr>
          <w:rFonts w:ascii="Arial" w:hAnsi="Arial" w:cs="Arial"/>
          <w:sz w:val="22"/>
          <w:szCs w:val="22"/>
        </w:rPr>
        <w:t>Contratada, nos termos da regulamentação própria, sanções cabíveis pelas infrações acaso verificadas, após devidamente apuradas. A fiscalização será realizada, visando garantir as condições de regularidade, continuidade, eficiência, segurança, atualidade, generalidade e pontualidade da entrega dos produtos, podendo o município de Rolim de Moura, tomar toda e qualquer decisão, inclusive cancelamento conforme previsto na Lei 8.666/93.</w:t>
      </w:r>
    </w:p>
    <w:p w:rsidR="009B5F84" w:rsidRPr="007B76BC" w:rsidRDefault="009B5F8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76921" w:rsidRDefault="00EE032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Prevê-se a vigência do contrato pelo período de 60 (sessenta) dias.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F53CE" w:rsidRPr="007B76BC">
        <w:rPr>
          <w:rFonts w:ascii="Arial" w:hAnsi="Arial" w:cs="Arial"/>
          <w:b/>
          <w:sz w:val="22"/>
          <w:szCs w:val="22"/>
        </w:rPr>
        <w:t xml:space="preserve">. </w:t>
      </w:r>
      <w:r w:rsidR="00196BC3" w:rsidRPr="007B76B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21261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>
        <w:rPr>
          <w:rFonts w:ascii="Arial" w:hAnsi="Arial" w:cs="Arial"/>
          <w:b/>
          <w:sz w:val="22"/>
          <w:szCs w:val="22"/>
        </w:rPr>
        <w:t>(</w:t>
      </w:r>
      <w:proofErr w:type="spellStart"/>
      <w:r w:rsidR="00212613">
        <w:rPr>
          <w:rFonts w:ascii="Arial" w:hAnsi="Arial" w:cs="Arial"/>
          <w:b/>
          <w:sz w:val="22"/>
          <w:szCs w:val="22"/>
        </w:rPr>
        <w:t>Comprasnet</w:t>
      </w:r>
      <w:proofErr w:type="spellEnd"/>
      <w:r w:rsidR="00212613">
        <w:rPr>
          <w:rFonts w:ascii="Arial" w:hAnsi="Arial" w:cs="Arial"/>
          <w:b/>
          <w:sz w:val="22"/>
          <w:szCs w:val="22"/>
        </w:rPr>
        <w:t>)</w:t>
      </w:r>
      <w:r w:rsidR="00DB1FC3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>
        <w:rPr>
          <w:rFonts w:ascii="Arial" w:hAnsi="Arial" w:cs="Arial"/>
          <w:b/>
          <w:sz w:val="22"/>
          <w:szCs w:val="22"/>
        </w:rPr>
        <w:t xml:space="preserve"> Declaração </w:t>
      </w:r>
      <w:proofErr w:type="gramStart"/>
      <w:r w:rsidR="00212613">
        <w:rPr>
          <w:rFonts w:ascii="Arial" w:hAnsi="Arial" w:cs="Arial"/>
          <w:b/>
          <w:sz w:val="22"/>
          <w:szCs w:val="22"/>
        </w:rPr>
        <w:t>do</w:t>
      </w:r>
      <w:r w:rsidR="00212613" w:rsidRPr="00212613">
        <w:rPr>
          <w:b/>
        </w:rPr>
        <w:t>Sistema</w:t>
      </w:r>
      <w:proofErr w:type="gramEnd"/>
      <w:r w:rsidR="00212613" w:rsidRPr="00212613">
        <w:rPr>
          <w:b/>
        </w:rPr>
        <w:t xml:space="preserve"> de Cadastramento Unificado de Fornecedores - SICAF</w:t>
      </w:r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lastRenderedPageBreak/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4071CE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EB3582">
        <w:rPr>
          <w:rFonts w:ascii="Arial" w:hAnsi="Arial" w:cs="Arial"/>
          <w:sz w:val="22"/>
          <w:szCs w:val="22"/>
        </w:rPr>
        <w:t xml:space="preserve"> de maio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7B76BC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7B76BC" w:rsidRDefault="00A1117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F5E3C" w:rsidRDefault="00FF5E3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10806" w:type="dxa"/>
        <w:tblInd w:w="-936" w:type="dxa"/>
        <w:tblCellMar>
          <w:left w:w="70" w:type="dxa"/>
          <w:right w:w="70" w:type="dxa"/>
        </w:tblCellMar>
        <w:tblLook w:val="04A0"/>
      </w:tblPr>
      <w:tblGrid>
        <w:gridCol w:w="666"/>
        <w:gridCol w:w="4735"/>
        <w:gridCol w:w="1565"/>
        <w:gridCol w:w="1000"/>
        <w:gridCol w:w="1420"/>
        <w:gridCol w:w="1420"/>
      </w:tblGrid>
      <w:tr w:rsidR="00BB07AF" w:rsidRPr="00BB07AF" w:rsidTr="00BB07AF">
        <w:trPr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BB07AF" w:rsidRPr="00BB07AF" w:rsidTr="00BB07AF">
        <w:trPr>
          <w:trHeight w:val="9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FUNILARIA E PINTURA DE 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7AF" w:rsidRPr="00BB07AF" w:rsidTr="00BB07AF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RECUPERAÇÃO,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FUNILARIA  E PINTURA DO PARA-CHOQUE TRASEIRO DO ONIBUS AGRALE GRAN MIDI PLACA NDM-1511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7AF" w:rsidRPr="00BB07AF" w:rsidTr="00BB07AF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ANO 2014/2014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lang w:eastAsia="pt-BR"/>
              </w:rPr>
              <w:t>UND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7AF" w:rsidRPr="00BB07AF" w:rsidTr="00BB07AF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806" w:type="dxa"/>
        <w:tblInd w:w="-936" w:type="dxa"/>
        <w:tblCellMar>
          <w:left w:w="70" w:type="dxa"/>
          <w:right w:w="70" w:type="dxa"/>
        </w:tblCellMar>
        <w:tblLook w:val="04A0"/>
      </w:tblPr>
      <w:tblGrid>
        <w:gridCol w:w="666"/>
        <w:gridCol w:w="4735"/>
        <w:gridCol w:w="1565"/>
        <w:gridCol w:w="1000"/>
        <w:gridCol w:w="1420"/>
        <w:gridCol w:w="1420"/>
      </w:tblGrid>
      <w:tr w:rsidR="00BB07AF" w:rsidRPr="00BB07AF" w:rsidTr="008C6D25">
        <w:trPr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BB07AF" w:rsidRPr="00BB07AF" w:rsidTr="008C6D25">
        <w:trPr>
          <w:trHeight w:val="9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8C6D2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FUNILARIA E PINTURA DE 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R$448,33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R$448,33 </w:t>
            </w:r>
          </w:p>
        </w:tc>
      </w:tr>
      <w:tr w:rsidR="00BB07AF" w:rsidRPr="00BB07AF" w:rsidTr="008C6D2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8C6D2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RECUPERAÇÃO,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FUNILARIA  E PINTURA DO PARA-CHOQUE TRASEIRO DO ONIBUS AGRALE GRAN MIDI PLACA NDM-1511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R$716,67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R$716,67 </w:t>
            </w:r>
          </w:p>
        </w:tc>
      </w:tr>
      <w:tr w:rsidR="00BB07AF" w:rsidRPr="00BB07AF" w:rsidTr="008C6D25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8C6D2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ANO 2014/2014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lang w:eastAsia="pt-BR"/>
              </w:rPr>
              <w:t>UND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R$ 2.120,00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R$ 2.120,00 </w:t>
            </w:r>
          </w:p>
        </w:tc>
      </w:tr>
      <w:tr w:rsidR="00BB07AF" w:rsidRPr="00BB07AF" w:rsidTr="008C6D25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AF" w:rsidRPr="00BB07AF" w:rsidRDefault="00BB07AF" w:rsidP="008C6D2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R$ 3.285,00 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3C" w:rsidRDefault="00FF5E3C" w:rsidP="00662A48">
      <w:r>
        <w:separator/>
      </w:r>
    </w:p>
  </w:endnote>
  <w:endnote w:type="continuationSeparator" w:id="1">
    <w:p w:rsidR="00FF5E3C" w:rsidRDefault="00FF5E3C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3C" w:rsidRPr="009B642C" w:rsidRDefault="00FF5E3C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FF5E3C" w:rsidRPr="009B642C" w:rsidRDefault="00FF5E3C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FF5E3C" w:rsidRPr="009B642C" w:rsidRDefault="00FF5E3C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3C" w:rsidRDefault="00FF5E3C" w:rsidP="00662A48">
      <w:r>
        <w:separator/>
      </w:r>
    </w:p>
  </w:footnote>
  <w:footnote w:type="continuationSeparator" w:id="1">
    <w:p w:rsidR="00FF5E3C" w:rsidRDefault="00FF5E3C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3C" w:rsidRPr="009B642C" w:rsidRDefault="006667C8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1202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5960AD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1201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FF5E3C" w:rsidRPr="009B642C" w:rsidRDefault="00FF5E3C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2293-2016</w:t>
                </w:r>
              </w:p>
            </w:txbxContent>
          </v:textbox>
        </v:shape>
      </w:pict>
    </w:r>
    <w:r w:rsidR="00FF5E3C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5E3C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E3C" w:rsidRPr="009B642C" w:rsidRDefault="00FF5E3C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FF5E3C" w:rsidRPr="009B642C" w:rsidRDefault="00FF5E3C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FF5E3C" w:rsidRPr="009B642C" w:rsidRDefault="00FF5E3C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FF5E3C" w:rsidRPr="009B642C" w:rsidRDefault="00FF5E3C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4"/>
    <o:shapelayout v:ext="edit">
      <o:idmap v:ext="edit" data="50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11CF8"/>
    <w:rsid w:val="00025D50"/>
    <w:rsid w:val="00033F0F"/>
    <w:rsid w:val="00035B5C"/>
    <w:rsid w:val="00043234"/>
    <w:rsid w:val="00043FD0"/>
    <w:rsid w:val="00062DF8"/>
    <w:rsid w:val="0007436B"/>
    <w:rsid w:val="00082238"/>
    <w:rsid w:val="000906D3"/>
    <w:rsid w:val="000A3A26"/>
    <w:rsid w:val="000C061A"/>
    <w:rsid w:val="000E04F3"/>
    <w:rsid w:val="000E1414"/>
    <w:rsid w:val="000E2225"/>
    <w:rsid w:val="000E587E"/>
    <w:rsid w:val="0010242C"/>
    <w:rsid w:val="001042AD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071CE"/>
    <w:rsid w:val="00422538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70166"/>
    <w:rsid w:val="00576495"/>
    <w:rsid w:val="0059524C"/>
    <w:rsid w:val="005960AD"/>
    <w:rsid w:val="00597264"/>
    <w:rsid w:val="005A2420"/>
    <w:rsid w:val="005B14AE"/>
    <w:rsid w:val="005B4342"/>
    <w:rsid w:val="005B502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96F"/>
    <w:rsid w:val="00625B14"/>
    <w:rsid w:val="00650A96"/>
    <w:rsid w:val="00654BEB"/>
    <w:rsid w:val="00656371"/>
    <w:rsid w:val="00662A48"/>
    <w:rsid w:val="006667C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C6D25"/>
    <w:rsid w:val="008C7218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2F4A"/>
    <w:rsid w:val="00A6491E"/>
    <w:rsid w:val="00A65931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2CC1"/>
    <w:rsid w:val="00D93690"/>
    <w:rsid w:val="00D9536D"/>
    <w:rsid w:val="00DA42DB"/>
    <w:rsid w:val="00DB1FC3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1CE2"/>
    <w:rsid w:val="00E532D4"/>
    <w:rsid w:val="00E738CB"/>
    <w:rsid w:val="00E87853"/>
    <w:rsid w:val="00E9754B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EF7D6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DDBD-1D6C-4BA9-8137-D14124DD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2016-05-18T19:09:00Z</cp:lastPrinted>
  <dcterms:created xsi:type="dcterms:W3CDTF">2016-05-18T19:33:00Z</dcterms:created>
  <dcterms:modified xsi:type="dcterms:W3CDTF">2016-05-18T19:33:00Z</dcterms:modified>
</cp:coreProperties>
</file>