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63ED2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63ED2">
        <w:rPr>
          <w:rFonts w:ascii="Arial" w:hAnsi="Arial" w:cs="Arial"/>
          <w:b/>
          <w:bCs/>
          <w:sz w:val="22"/>
          <w:szCs w:val="22"/>
        </w:rPr>
        <w:t>E</w:t>
      </w:r>
      <w:r w:rsidR="006F5D55" w:rsidRPr="00563ED2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63ED2">
        <w:rPr>
          <w:rFonts w:ascii="Arial" w:hAnsi="Arial" w:cs="Arial"/>
          <w:b/>
          <w:bCs/>
          <w:sz w:val="22"/>
          <w:szCs w:val="22"/>
        </w:rPr>
        <w:t xml:space="preserve"> Nº</w:t>
      </w:r>
      <w:r w:rsidR="00331248">
        <w:rPr>
          <w:rFonts w:ascii="Arial" w:hAnsi="Arial" w:cs="Arial"/>
          <w:b/>
          <w:bCs/>
          <w:sz w:val="22"/>
          <w:szCs w:val="22"/>
        </w:rPr>
        <w:t>44</w:t>
      </w:r>
      <w:r w:rsidR="004E6B81" w:rsidRPr="00563ED2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63ED2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63ED2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PROCESSO N</w:t>
      </w:r>
      <w:r w:rsidR="00F20F8B" w:rsidRPr="00563ED2">
        <w:rPr>
          <w:rFonts w:ascii="Arial" w:hAnsi="Arial" w:cs="Arial"/>
          <w:sz w:val="22"/>
          <w:szCs w:val="22"/>
        </w:rPr>
        <w:t>º</w:t>
      </w:r>
      <w:r w:rsidR="00603ECD">
        <w:rPr>
          <w:rFonts w:ascii="Arial" w:hAnsi="Arial" w:cs="Arial"/>
          <w:sz w:val="22"/>
          <w:szCs w:val="22"/>
        </w:rPr>
        <w:t>4746/</w:t>
      </w:r>
      <w:r w:rsidR="007910F2" w:rsidRPr="00563ED2">
        <w:rPr>
          <w:rFonts w:ascii="Arial" w:hAnsi="Arial" w:cs="Arial"/>
          <w:sz w:val="22"/>
          <w:szCs w:val="22"/>
        </w:rPr>
        <w:t>2016</w:t>
      </w:r>
    </w:p>
    <w:p w:rsidR="006F5D55" w:rsidRPr="00563ED2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63ED2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63ED2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63ED2">
        <w:rPr>
          <w:rFonts w:ascii="Arial" w:hAnsi="Arial"/>
          <w:szCs w:val="22"/>
        </w:rPr>
        <w:t xml:space="preserve">Data limite para entrega da proposta: dia </w:t>
      </w:r>
      <w:r w:rsidR="00331248">
        <w:rPr>
          <w:rFonts w:ascii="Arial" w:hAnsi="Arial"/>
          <w:szCs w:val="22"/>
        </w:rPr>
        <w:t>16</w:t>
      </w:r>
      <w:r w:rsidR="008E01B1" w:rsidRPr="00563ED2">
        <w:rPr>
          <w:rFonts w:ascii="Arial" w:hAnsi="Arial"/>
          <w:szCs w:val="22"/>
        </w:rPr>
        <w:t>/</w:t>
      </w:r>
      <w:r w:rsidR="0067343C" w:rsidRPr="00563ED2">
        <w:rPr>
          <w:rFonts w:ascii="Arial" w:hAnsi="Arial"/>
          <w:szCs w:val="22"/>
        </w:rPr>
        <w:t>0</w:t>
      </w:r>
      <w:r w:rsidR="00331248">
        <w:rPr>
          <w:rFonts w:ascii="Arial" w:hAnsi="Arial"/>
          <w:szCs w:val="22"/>
        </w:rPr>
        <w:t>8</w:t>
      </w:r>
      <w:r w:rsidR="007D4F59" w:rsidRPr="00563ED2">
        <w:rPr>
          <w:rFonts w:ascii="Arial" w:hAnsi="Arial"/>
          <w:szCs w:val="22"/>
        </w:rPr>
        <w:t>/</w:t>
      </w:r>
      <w:r w:rsidR="009A3A4C" w:rsidRPr="00563ED2">
        <w:rPr>
          <w:rFonts w:ascii="Arial" w:hAnsi="Arial"/>
          <w:szCs w:val="22"/>
        </w:rPr>
        <w:t>201</w:t>
      </w:r>
      <w:r w:rsidR="007B73D8" w:rsidRPr="00563ED2">
        <w:rPr>
          <w:rFonts w:ascii="Arial" w:hAnsi="Arial"/>
          <w:szCs w:val="22"/>
        </w:rPr>
        <w:t>6</w:t>
      </w:r>
      <w:r w:rsidRPr="00563ED2">
        <w:rPr>
          <w:rFonts w:ascii="Arial" w:hAnsi="Arial"/>
          <w:szCs w:val="22"/>
        </w:rPr>
        <w:t xml:space="preserve"> às </w:t>
      </w:r>
      <w:proofErr w:type="gramStart"/>
      <w:r w:rsidR="00331248">
        <w:rPr>
          <w:rFonts w:ascii="Arial" w:hAnsi="Arial"/>
          <w:szCs w:val="22"/>
        </w:rPr>
        <w:t>1</w:t>
      </w:r>
      <w:r w:rsidR="0067343C" w:rsidRPr="00563ED2">
        <w:rPr>
          <w:rFonts w:ascii="Arial" w:hAnsi="Arial"/>
          <w:szCs w:val="22"/>
        </w:rPr>
        <w:t>0</w:t>
      </w:r>
      <w:r w:rsidR="008E01B1" w:rsidRPr="00563ED2">
        <w:rPr>
          <w:rFonts w:ascii="Arial" w:hAnsi="Arial"/>
          <w:szCs w:val="22"/>
        </w:rPr>
        <w:t>:</w:t>
      </w:r>
      <w:r w:rsidR="004E6DC0" w:rsidRPr="00563ED2">
        <w:rPr>
          <w:rFonts w:ascii="Arial" w:hAnsi="Arial"/>
          <w:szCs w:val="22"/>
        </w:rPr>
        <w:t>0</w:t>
      </w:r>
      <w:r w:rsidRPr="00563ED2">
        <w:rPr>
          <w:rFonts w:ascii="Arial" w:hAnsi="Arial"/>
          <w:szCs w:val="22"/>
        </w:rPr>
        <w:t>0</w:t>
      </w:r>
      <w:proofErr w:type="gramEnd"/>
      <w:r w:rsidR="008E01B1" w:rsidRPr="00563ED2">
        <w:rPr>
          <w:rFonts w:ascii="Arial" w:hAnsi="Arial"/>
          <w:szCs w:val="22"/>
        </w:rPr>
        <w:t>min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1.1 - O </w:t>
      </w:r>
      <w:r w:rsidR="00C43A9F" w:rsidRPr="00563ED2">
        <w:rPr>
          <w:rFonts w:ascii="Arial" w:hAnsi="Arial" w:cs="Arial"/>
          <w:sz w:val="22"/>
          <w:szCs w:val="22"/>
        </w:rPr>
        <w:t>Município de Rolim de Moura TORNA PÚBLICO</w:t>
      </w:r>
      <w:r w:rsidRPr="00563ED2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63ED2">
        <w:rPr>
          <w:rFonts w:ascii="Arial" w:hAnsi="Arial" w:cs="Arial"/>
          <w:sz w:val="22"/>
          <w:szCs w:val="22"/>
        </w:rPr>
        <w:t>“</w:t>
      </w:r>
      <w:r w:rsidRPr="00563ED2">
        <w:rPr>
          <w:rFonts w:ascii="Arial" w:hAnsi="Arial" w:cs="Arial"/>
          <w:sz w:val="22"/>
          <w:szCs w:val="22"/>
        </w:rPr>
        <w:t>MENOR PREÇO</w:t>
      </w:r>
      <w:r w:rsidR="00043FD0" w:rsidRPr="00563ED2">
        <w:rPr>
          <w:rFonts w:ascii="Arial" w:hAnsi="Arial" w:cs="Arial"/>
          <w:sz w:val="22"/>
          <w:szCs w:val="22"/>
        </w:rPr>
        <w:t>”</w:t>
      </w:r>
      <w:r w:rsidRPr="00563ED2">
        <w:rPr>
          <w:rFonts w:ascii="Arial" w:hAnsi="Arial" w:cs="Arial"/>
          <w:sz w:val="22"/>
          <w:szCs w:val="22"/>
        </w:rPr>
        <w:t xml:space="preserve"> unitário</w:t>
      </w:r>
      <w:r w:rsidR="007124F0" w:rsidRPr="00563ED2">
        <w:rPr>
          <w:rFonts w:ascii="Arial" w:hAnsi="Arial" w:cs="Arial"/>
          <w:sz w:val="22"/>
          <w:szCs w:val="22"/>
        </w:rPr>
        <w:t xml:space="preserve"> por </w:t>
      </w:r>
      <w:r w:rsidR="00C72498" w:rsidRPr="00563ED2">
        <w:rPr>
          <w:rFonts w:ascii="Arial" w:hAnsi="Arial" w:cs="Arial"/>
          <w:sz w:val="22"/>
          <w:szCs w:val="22"/>
        </w:rPr>
        <w:t>item</w:t>
      </w:r>
      <w:r w:rsidR="00043FD0" w:rsidRPr="00563ED2">
        <w:rPr>
          <w:rFonts w:ascii="Arial" w:hAnsi="Arial" w:cs="Arial"/>
          <w:sz w:val="22"/>
          <w:szCs w:val="22"/>
        </w:rPr>
        <w:t>,</w:t>
      </w:r>
      <w:r w:rsidRPr="00563ED2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563ED2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63ED2">
        <w:rPr>
          <w:rFonts w:ascii="Arial" w:hAnsi="Arial" w:cs="Arial"/>
          <w:sz w:val="22"/>
          <w:szCs w:val="22"/>
        </w:rPr>
        <w:t xml:space="preserve"> dispensa de</w:t>
      </w:r>
      <w:r w:rsidRPr="00563ED2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63ED2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63ED2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2 – OBJETO</w:t>
      </w:r>
    </w:p>
    <w:p w:rsidR="00251013" w:rsidRPr="00563ED2" w:rsidRDefault="002F6422" w:rsidP="00576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do medicamento RAVOMICINA (</w:t>
      </w:r>
      <w:proofErr w:type="spellStart"/>
      <w:r>
        <w:rPr>
          <w:rFonts w:ascii="Arial" w:hAnsi="Arial" w:cs="Arial"/>
          <w:sz w:val="22"/>
          <w:szCs w:val="22"/>
        </w:rPr>
        <w:t>espiramicina</w:t>
      </w:r>
      <w:proofErr w:type="spellEnd"/>
      <w:r>
        <w:rPr>
          <w:rFonts w:ascii="Arial" w:hAnsi="Arial" w:cs="Arial"/>
          <w:sz w:val="22"/>
          <w:szCs w:val="22"/>
        </w:rPr>
        <w:t>) para atender a demanda da Secretaria Municipal de Saúde do Município de Rolim de Moura.</w:t>
      </w:r>
    </w:p>
    <w:p w:rsidR="00251013" w:rsidRPr="00563ED2" w:rsidRDefault="00251013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03 – JUSTIFICATIVA</w:t>
      </w:r>
    </w:p>
    <w:p w:rsidR="002F6422" w:rsidRPr="002F6422" w:rsidRDefault="002F6422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2F6422">
        <w:rPr>
          <w:rFonts w:ascii="Arial" w:hAnsi="Arial" w:cs="Arial"/>
          <w:b w:val="0"/>
          <w:sz w:val="22"/>
          <w:szCs w:val="22"/>
        </w:rPr>
        <w:t>Tem este o objetivo de adquirir medicamentos para atender a demanda da Farmácia Estratégia da Secretaria Municipal de Saúde do Município de Rolim de Moura - RO.</w:t>
      </w:r>
    </w:p>
    <w:p w:rsidR="002F6422" w:rsidRPr="002F6422" w:rsidRDefault="002F6422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2F6422">
        <w:rPr>
          <w:rFonts w:ascii="Arial" w:hAnsi="Arial" w:cs="Arial"/>
          <w:b w:val="0"/>
          <w:sz w:val="22"/>
          <w:szCs w:val="22"/>
        </w:rPr>
        <w:t>A ROVAMICINA é o único medicamento referenciado para o tratamento da toxoplasmose em gestantes que adquiram a doença no primeiro trimestre com infecção aguda. Em caso do não tratamento, a patologia pode trazer alterações e danos irreversíveis ao feto.</w:t>
      </w:r>
    </w:p>
    <w:p w:rsidR="002F6422" w:rsidRPr="002F6422" w:rsidRDefault="002F6422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2F6422">
        <w:rPr>
          <w:rFonts w:ascii="Arial" w:hAnsi="Arial" w:cs="Arial"/>
          <w:b w:val="0"/>
          <w:sz w:val="22"/>
          <w:szCs w:val="22"/>
        </w:rPr>
        <w:t xml:space="preserve">O oficio circular nº 10 da Coordenação Geral da Saúde da Mulher, </w:t>
      </w:r>
      <w:proofErr w:type="gramStart"/>
      <w:r w:rsidRPr="002F6422">
        <w:rPr>
          <w:rFonts w:ascii="Arial" w:hAnsi="Arial" w:cs="Arial"/>
          <w:b w:val="0"/>
          <w:sz w:val="22"/>
          <w:szCs w:val="22"/>
        </w:rPr>
        <w:t>esclarece</w:t>
      </w:r>
      <w:proofErr w:type="gramEnd"/>
      <w:r w:rsidRPr="002F6422">
        <w:rPr>
          <w:rFonts w:ascii="Arial" w:hAnsi="Arial" w:cs="Arial"/>
          <w:b w:val="0"/>
          <w:sz w:val="22"/>
          <w:szCs w:val="22"/>
        </w:rPr>
        <w:t xml:space="preserve"> que o Ministério da Saúde não irá mais distribuir o medicamento, passando a responsabilidade de aquisição da medicação para a esfera municipal e/ou estadual.</w:t>
      </w:r>
    </w:p>
    <w:p w:rsidR="002F6422" w:rsidRPr="002F6422" w:rsidRDefault="002F6422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2F6422">
        <w:rPr>
          <w:rFonts w:ascii="Arial" w:hAnsi="Arial" w:cs="Arial"/>
          <w:b w:val="0"/>
          <w:sz w:val="22"/>
          <w:szCs w:val="22"/>
        </w:rPr>
        <w:t xml:space="preserve">A empresa Sanofi-Aventis Farmacêutica LTDA é a única fornecedora da </w:t>
      </w:r>
      <w:proofErr w:type="spellStart"/>
      <w:r w:rsidRPr="002F6422">
        <w:rPr>
          <w:rFonts w:ascii="Arial" w:hAnsi="Arial" w:cs="Arial"/>
          <w:b w:val="0"/>
          <w:sz w:val="22"/>
          <w:szCs w:val="22"/>
        </w:rPr>
        <w:t>Rovamicina</w:t>
      </w:r>
      <w:proofErr w:type="spellEnd"/>
      <w:r w:rsidRPr="002F6422">
        <w:rPr>
          <w:rFonts w:ascii="Arial" w:hAnsi="Arial" w:cs="Arial"/>
          <w:b w:val="0"/>
          <w:sz w:val="22"/>
          <w:szCs w:val="22"/>
        </w:rPr>
        <w:t xml:space="preserve"> no país. Entretanto devido a problemas na produção, o mercado encontra-se com falta temporária do produto, motivo pelo qual tanto Estados quanto Municípios não conseguem adquirir tal medicamento através de licitação.</w:t>
      </w:r>
    </w:p>
    <w:p w:rsidR="002F6422" w:rsidRPr="002F6422" w:rsidRDefault="002F6422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2F6422">
        <w:rPr>
          <w:rFonts w:ascii="Arial" w:hAnsi="Arial" w:cs="Arial"/>
          <w:b w:val="0"/>
          <w:sz w:val="22"/>
          <w:szCs w:val="22"/>
        </w:rPr>
        <w:t>Diante do exposto, é que se justifica a aquisição do medicamento para suprir a demanda da SEMUSA.</w:t>
      </w:r>
    </w:p>
    <w:p w:rsidR="00624CCE" w:rsidRPr="00563ED2" w:rsidRDefault="002F6422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2F6422">
        <w:rPr>
          <w:rFonts w:ascii="Arial" w:hAnsi="Arial" w:cs="Arial"/>
          <w:b w:val="0"/>
          <w:sz w:val="22"/>
          <w:szCs w:val="22"/>
        </w:rPr>
        <w:t>A discriminação e as quantidades do medicamento estão descritas no SAMS077/SEMUSA/2016 que segue em anexo.</w:t>
      </w:r>
    </w:p>
    <w:p w:rsidR="00DD61F7" w:rsidRPr="00563ED2" w:rsidRDefault="00DD61F7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563ED2" w:rsidRDefault="008D1AA5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3ED2">
        <w:rPr>
          <w:rFonts w:ascii="Arial" w:hAnsi="Arial" w:cs="Arial"/>
          <w:color w:val="000000"/>
          <w:sz w:val="22"/>
          <w:szCs w:val="22"/>
        </w:rPr>
        <w:t>As despesas correrão por conta do elemento de despesa 33.90.30 do projeto atividade 2.1</w:t>
      </w:r>
      <w:r w:rsidR="004639C4">
        <w:rPr>
          <w:rFonts w:ascii="Arial" w:hAnsi="Arial" w:cs="Arial"/>
          <w:color w:val="000000"/>
          <w:sz w:val="22"/>
          <w:szCs w:val="22"/>
        </w:rPr>
        <w:t>2</w:t>
      </w:r>
      <w:r w:rsidRPr="00563ED2">
        <w:rPr>
          <w:rFonts w:ascii="Arial" w:hAnsi="Arial" w:cs="Arial"/>
          <w:color w:val="000000"/>
          <w:sz w:val="22"/>
          <w:szCs w:val="22"/>
        </w:rPr>
        <w:t>3</w:t>
      </w:r>
      <w:r w:rsidR="004639C4">
        <w:rPr>
          <w:rFonts w:ascii="Arial" w:hAnsi="Arial" w:cs="Arial"/>
          <w:color w:val="000000"/>
          <w:sz w:val="22"/>
          <w:szCs w:val="22"/>
        </w:rPr>
        <w:t>, 2.129, 2.134, 2.135, 2.140, e 2.141</w:t>
      </w:r>
      <w:r w:rsidRPr="00563ED2">
        <w:rPr>
          <w:rFonts w:ascii="Arial" w:hAnsi="Arial" w:cs="Arial"/>
          <w:color w:val="000000"/>
          <w:sz w:val="22"/>
          <w:szCs w:val="22"/>
        </w:rPr>
        <w:t>.</w:t>
      </w:r>
    </w:p>
    <w:p w:rsidR="00AD6806" w:rsidRPr="00563ED2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5</w:t>
      </w:r>
      <w:r w:rsidRPr="00563ED2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B1176B" w:rsidRDefault="004639C4" w:rsidP="00B1176B">
      <w:pPr>
        <w:jc w:val="both"/>
        <w:rPr>
          <w:rFonts w:ascii="Arial" w:hAnsi="Arial" w:cs="Arial"/>
          <w:sz w:val="22"/>
          <w:szCs w:val="22"/>
        </w:rPr>
      </w:pPr>
      <w:r w:rsidRPr="004639C4">
        <w:rPr>
          <w:rFonts w:ascii="Arial" w:hAnsi="Arial" w:cs="Arial"/>
          <w:sz w:val="22"/>
          <w:szCs w:val="22"/>
        </w:rPr>
        <w:t>O pagamento será efetuado mediante liquidação de despesa em até 30(trinta) dias, conforme dispõe o art. 62 e 63 da 4.320/64, e demais documentos pertinentes ao objeto licitado.</w:t>
      </w:r>
    </w:p>
    <w:p w:rsidR="004639C4" w:rsidRPr="00563ED2" w:rsidRDefault="004639C4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6</w:t>
      </w:r>
      <w:r w:rsidR="00667D7B" w:rsidRPr="00563ED2">
        <w:rPr>
          <w:rFonts w:ascii="Arial" w:hAnsi="Arial" w:cs="Arial"/>
          <w:b/>
          <w:sz w:val="22"/>
          <w:szCs w:val="22"/>
        </w:rPr>
        <w:t>–</w:t>
      </w:r>
      <w:r w:rsidR="00FC0CBD" w:rsidRPr="00563ED2">
        <w:rPr>
          <w:rFonts w:ascii="Arial" w:hAnsi="Arial" w:cs="Arial"/>
          <w:b/>
          <w:sz w:val="22"/>
          <w:szCs w:val="22"/>
        </w:rPr>
        <w:t>FISCALIZAÇÃO</w:t>
      </w:r>
      <w:r w:rsidR="006D28A5" w:rsidRPr="00563ED2">
        <w:rPr>
          <w:rFonts w:ascii="Arial" w:hAnsi="Arial" w:cs="Arial"/>
          <w:b/>
          <w:sz w:val="22"/>
          <w:szCs w:val="22"/>
        </w:rPr>
        <w:t>/ENTREGA</w:t>
      </w:r>
    </w:p>
    <w:p w:rsidR="006D28A5" w:rsidRPr="00563ED2" w:rsidRDefault="005820C0" w:rsidP="006D28A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lastRenderedPageBreak/>
        <w:t>A entrega do material será efetuada no Almoxarifado Central, conforme pedido da Secretaria, ficando a Comissão de Recebimento de Material, responsável pelo recebimento e a fiscalização.</w:t>
      </w:r>
    </w:p>
    <w:p w:rsidR="00805ACD" w:rsidRPr="00563ED2" w:rsidRDefault="00805ACD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7</w:t>
      </w:r>
      <w:r w:rsidRPr="00563ED2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Entregar no Almoxarifado Central os medicamentos solicitados após liberação e emissão da nota de empenho;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A mão-de-obra para descarregar os medicamentos no almoxarifado central é de responsabilidade da empresa vencedora da licitação;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 xml:space="preserve">Manter enquanto estiver em vigor o contrato, as exigências do Edital no que diz respeito </w:t>
      </w:r>
      <w:proofErr w:type="gramStart"/>
      <w:r w:rsidRPr="005820C0">
        <w:rPr>
          <w:rFonts w:ascii="Arial" w:hAnsi="Arial" w:cs="Arial"/>
          <w:sz w:val="22"/>
          <w:szCs w:val="22"/>
        </w:rPr>
        <w:t>a</w:t>
      </w:r>
      <w:proofErr w:type="gramEnd"/>
      <w:r w:rsidRPr="005820C0">
        <w:rPr>
          <w:rFonts w:ascii="Arial" w:hAnsi="Arial" w:cs="Arial"/>
          <w:sz w:val="22"/>
          <w:szCs w:val="22"/>
        </w:rPr>
        <w:t xml:space="preserve"> habilitação;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Fornecer os produtos de 1ª qualidade, dentro das especificações contidas no edital a ser elaborado pela Comissão Permanente de Licitação (CPL);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Responder por todas as obrigações trabalhistas e previdenciárias referente à contratação dos produtos, objeto deste Edital;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 xml:space="preserve">Fica a cargo da Contratante, exercer, ampla, irrestrita e permanente fiscalização durante toda a entrega dos produtos, bem como estabelecer parâmetro e diretrizes na execução, aplicando à </w:t>
      </w:r>
      <w:proofErr w:type="gramStart"/>
      <w:r w:rsidRPr="005820C0">
        <w:rPr>
          <w:rFonts w:ascii="Arial" w:hAnsi="Arial" w:cs="Arial"/>
          <w:sz w:val="22"/>
          <w:szCs w:val="22"/>
        </w:rPr>
        <w:t>CONTRATADA(</w:t>
      </w:r>
      <w:proofErr w:type="gramEnd"/>
      <w:r w:rsidRPr="005820C0">
        <w:rPr>
          <w:rFonts w:ascii="Arial" w:hAnsi="Arial" w:cs="Arial"/>
          <w:sz w:val="22"/>
          <w:szCs w:val="22"/>
        </w:rPr>
        <w:t>O), nos termos da regulamentação própria, sanções cabíveis pelas infrações acaso verificadas, após devidamente apuradas;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A fiscalização será realizada, visando garantir as condições de regularidade, continuidade, eficiência, segurança, atualidade, generalidade e pontualidade da entrega dos produtos, podendo a contratante, tomar toda e qualquer decisão, para assegurar a entrega dos materiais, sob pena da rescisão do contrato em razão de interesse público;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Serão recusados os medicamentos que não atenderem as especificações e/ou que não esteja adequado para o consumo, devendo a licitante contratada substituir imediatamente o recusado;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Os medicamentos deverão ser entregues no prazo máximo de 10 (dez) dias corridos, embalados, de forma a não ser danificado durante as operações de transporte e descarga no local da entrega e deverá observar o empilhamento máximo indicado nas caixas pela fabricante;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Os medicamentos sairão da indústria em embalagens apropriadas e lacradas que garantam a sua validade na temperatura especificada pelo fabricante no rótulo de cada embalagem;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Não serão aceitos medicamentos suspeitos de alteração, adulteração, fraude ou falsificação com risco comprovado à saúde, respondendo, os responsáveis, por infração prevista na Lei Federal n. 6.437/77 e crime, previsto no Código Penal, a ser apurado na forma da Lei;</w:t>
      </w:r>
    </w:p>
    <w:p w:rsidR="005820C0" w:rsidRPr="005820C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Os medicamentos deverão estar acondicionados em embalagem original da fabricante, com o nome do responsável técnico, lote, data de fabricação e validade estampada em cada embalagem;</w:t>
      </w:r>
    </w:p>
    <w:p w:rsidR="00284210" w:rsidRDefault="005820C0" w:rsidP="005820C0">
      <w:pPr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O prazo de validade do medicamento deverá ser de no mínimo 01 (um) ano, a partir da data da entrega.</w:t>
      </w:r>
    </w:p>
    <w:p w:rsidR="005820C0" w:rsidRPr="00563ED2" w:rsidRDefault="005820C0" w:rsidP="005820C0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08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63ED2">
        <w:rPr>
          <w:rFonts w:ascii="Arial" w:hAnsi="Arial" w:cs="Arial"/>
          <w:b/>
          <w:sz w:val="22"/>
          <w:szCs w:val="22"/>
        </w:rPr>
        <w:t>09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63ED2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63ED2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Pr="00563ED2" w:rsidRDefault="00297DEA" w:rsidP="00AE34C4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Prevê-se a vigência do contrato pelo período de 60</w:t>
      </w:r>
      <w:r w:rsidR="002C5563" w:rsidRPr="00563ED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="002C5563" w:rsidRPr="00563ED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dias</w:t>
      </w:r>
      <w:r w:rsidR="002C5563" w:rsidRPr="00563ED2">
        <w:rPr>
          <w:rFonts w:ascii="Arial" w:hAnsi="Arial" w:cs="Arial"/>
          <w:sz w:val="22"/>
          <w:szCs w:val="22"/>
        </w:rPr>
        <w:t>.</w:t>
      </w:r>
    </w:p>
    <w:p w:rsidR="00AE34C4" w:rsidRPr="00563ED2" w:rsidRDefault="00AE34C4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63ED2" w:rsidRDefault="00805AC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lastRenderedPageBreak/>
        <w:t>10 –</w:t>
      </w:r>
      <w:r w:rsidR="00196BC3" w:rsidRPr="00563ED2">
        <w:rPr>
          <w:rFonts w:ascii="Arial" w:hAnsi="Arial" w:cs="Arial"/>
          <w:b/>
          <w:sz w:val="22"/>
          <w:szCs w:val="22"/>
        </w:rPr>
        <w:t>REQUISITOSPARA PARTICIPAR DO CERTAME LICITATORIO</w:t>
      </w:r>
    </w:p>
    <w:p w:rsidR="00576495" w:rsidRPr="00563ED2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63ED2">
        <w:rPr>
          <w:rFonts w:ascii="Arial" w:hAnsi="Arial" w:cs="Arial"/>
          <w:sz w:val="22"/>
          <w:szCs w:val="22"/>
        </w:rPr>
        <w:t>o Permanente de Licitação (CPL)</w:t>
      </w:r>
      <w:r w:rsidR="00FA6201" w:rsidRPr="00563ED2">
        <w:rPr>
          <w:rFonts w:ascii="Arial" w:hAnsi="Arial" w:cs="Arial"/>
          <w:sz w:val="22"/>
          <w:szCs w:val="22"/>
        </w:rPr>
        <w:t>.</w:t>
      </w:r>
    </w:p>
    <w:p w:rsidR="000E587E" w:rsidRPr="00563ED2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1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63ED2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Pr="00563ED2">
        <w:rPr>
          <w:rFonts w:ascii="Arial" w:hAnsi="Arial" w:cs="Arial"/>
          <w:sz w:val="22"/>
          <w:szCs w:val="22"/>
        </w:rPr>
        <w:t xml:space="preserve">.1 </w:t>
      </w:r>
      <w:r w:rsidR="006F5D55" w:rsidRPr="00563ED2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="0062596F" w:rsidRPr="00563ED2">
        <w:rPr>
          <w:rFonts w:ascii="Arial" w:hAnsi="Arial" w:cs="Arial"/>
          <w:sz w:val="22"/>
          <w:szCs w:val="22"/>
        </w:rPr>
        <w:t>.2</w:t>
      </w:r>
      <w:r w:rsidR="006F5D55" w:rsidRPr="00563ED2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63ED2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2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2</w:t>
      </w:r>
      <w:r w:rsidR="006F5D55" w:rsidRPr="00563ED2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63ED2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63ED2">
        <w:rPr>
          <w:rFonts w:ascii="Arial" w:hAnsi="Arial" w:cs="Arial"/>
          <w:b/>
          <w:sz w:val="22"/>
          <w:szCs w:val="22"/>
        </w:rPr>
        <w:t>00</w:t>
      </w:r>
      <w:r w:rsidR="002E262D" w:rsidRPr="00563ED2">
        <w:rPr>
          <w:rFonts w:ascii="Arial" w:hAnsi="Arial" w:cs="Arial"/>
          <w:b/>
          <w:sz w:val="22"/>
          <w:szCs w:val="22"/>
        </w:rPr>
        <w:t>0</w:t>
      </w:r>
      <w:r w:rsidRPr="00563ED2">
        <w:rPr>
          <w:rFonts w:ascii="Arial" w:hAnsi="Arial" w:cs="Arial"/>
          <w:b/>
          <w:sz w:val="22"/>
          <w:szCs w:val="22"/>
        </w:rPr>
        <w:t>/201</w:t>
      </w:r>
      <w:r w:rsidR="0050766C" w:rsidRPr="00563ED2">
        <w:rPr>
          <w:rFonts w:ascii="Arial" w:hAnsi="Arial" w:cs="Arial"/>
          <w:b/>
          <w:sz w:val="22"/>
          <w:szCs w:val="22"/>
        </w:rPr>
        <w:t>6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63ED2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63ED2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3</w:t>
      </w:r>
      <w:r w:rsidR="006F5D55" w:rsidRPr="00563ED2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563ED2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563ED2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563ED2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Rolim de Moura - RO, </w:t>
      </w:r>
      <w:r w:rsidR="0043270A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="00625B14" w:rsidRPr="00563ED2">
        <w:rPr>
          <w:rFonts w:ascii="Arial" w:hAnsi="Arial" w:cs="Arial"/>
          <w:sz w:val="22"/>
          <w:szCs w:val="22"/>
        </w:rPr>
        <w:t>de</w:t>
      </w:r>
      <w:r w:rsidR="00166760">
        <w:rPr>
          <w:rFonts w:ascii="Arial" w:hAnsi="Arial" w:cs="Arial"/>
          <w:sz w:val="22"/>
          <w:szCs w:val="22"/>
        </w:rPr>
        <w:t>agosto</w:t>
      </w:r>
      <w:r w:rsidR="00983E09" w:rsidRPr="00563ED2">
        <w:rPr>
          <w:rFonts w:ascii="Arial" w:hAnsi="Arial" w:cs="Arial"/>
          <w:sz w:val="22"/>
          <w:szCs w:val="22"/>
        </w:rPr>
        <w:t>de 201</w:t>
      </w:r>
      <w:r w:rsidR="007B73D8" w:rsidRPr="00563ED2">
        <w:rPr>
          <w:rFonts w:ascii="Arial" w:hAnsi="Arial" w:cs="Arial"/>
          <w:sz w:val="22"/>
          <w:szCs w:val="22"/>
        </w:rPr>
        <w:t>6</w:t>
      </w:r>
      <w:r w:rsidR="00D373B0" w:rsidRPr="00563ED2">
        <w:rPr>
          <w:rFonts w:ascii="Arial" w:hAnsi="Arial" w:cs="Arial"/>
          <w:sz w:val="22"/>
          <w:szCs w:val="22"/>
        </w:rPr>
        <w:t>.</w:t>
      </w: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563ED2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563ED2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__________</w:t>
      </w:r>
      <w:r w:rsidR="00FC0CBD" w:rsidRPr="00563ED2">
        <w:rPr>
          <w:rFonts w:ascii="Arial" w:hAnsi="Arial" w:cs="Arial"/>
          <w:sz w:val="22"/>
          <w:szCs w:val="22"/>
        </w:rPr>
        <w:t>___</w:t>
      </w:r>
      <w:r w:rsidRPr="00563ED2">
        <w:rPr>
          <w:rFonts w:ascii="Arial" w:hAnsi="Arial" w:cs="Arial"/>
          <w:sz w:val="22"/>
          <w:szCs w:val="22"/>
        </w:rPr>
        <w:t>____________________________</w:t>
      </w:r>
    </w:p>
    <w:p w:rsidR="006F12FA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63ED2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63ED2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Portaria nº </w:t>
      </w:r>
      <w:r w:rsidR="00166760">
        <w:rPr>
          <w:rFonts w:ascii="Arial" w:hAnsi="Arial" w:cs="Arial"/>
          <w:sz w:val="22"/>
          <w:szCs w:val="22"/>
        </w:rPr>
        <w:t>112</w:t>
      </w:r>
      <w:r w:rsidRPr="00563ED2">
        <w:rPr>
          <w:rFonts w:ascii="Arial" w:hAnsi="Arial" w:cs="Arial"/>
          <w:sz w:val="22"/>
          <w:szCs w:val="22"/>
        </w:rPr>
        <w:t>/201</w:t>
      </w:r>
      <w:r w:rsidR="00166760">
        <w:rPr>
          <w:rFonts w:ascii="Arial" w:hAnsi="Arial" w:cs="Arial"/>
          <w:sz w:val="22"/>
          <w:szCs w:val="22"/>
        </w:rPr>
        <w:t>6</w:t>
      </w:r>
    </w:p>
    <w:p w:rsidR="00615D5F" w:rsidRPr="00563ED2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563ED2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563ED2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563ED2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563ED2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63ED2" w:rsidRDefault="002017A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A</w:t>
      </w:r>
      <w:r w:rsidR="006F5D55" w:rsidRPr="00563ED2">
        <w:rPr>
          <w:rFonts w:ascii="Arial" w:hAnsi="Arial" w:cs="Arial"/>
          <w:b/>
          <w:sz w:val="22"/>
          <w:szCs w:val="22"/>
        </w:rPr>
        <w:t>NEXO I</w:t>
      </w:r>
      <w:r w:rsidR="00A54B71" w:rsidRPr="00563ED2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63ED2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DESCRIÇÃO DOS ITENS</w:t>
      </w:r>
    </w:p>
    <w:p w:rsidR="00615D5F" w:rsidRPr="00563ED2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828"/>
        <w:gridCol w:w="993"/>
        <w:gridCol w:w="993"/>
        <w:gridCol w:w="1275"/>
        <w:gridCol w:w="1343"/>
      </w:tblGrid>
      <w:tr w:rsidR="00EC2D43" w:rsidRPr="00563ED2" w:rsidTr="00C77340">
        <w:trPr>
          <w:trHeight w:val="30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EC2D43" w:rsidRPr="00563ED2" w:rsidTr="00C77340">
        <w:trPr>
          <w:trHeight w:val="7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B5F" w:rsidRPr="00563ED2" w:rsidRDefault="00C77340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Ravomicina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1.5 UI comprimido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C77340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C77340">
        <w:trPr>
          <w:trHeight w:val="70"/>
        </w:trPr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563ED2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VALOR TOTALR$ ___</w:t>
      </w:r>
      <w:r w:rsidR="005F4990" w:rsidRPr="00563ED2">
        <w:rPr>
          <w:rFonts w:ascii="Arial" w:hAnsi="Arial" w:cs="Arial"/>
          <w:sz w:val="22"/>
          <w:szCs w:val="22"/>
        </w:rPr>
        <w:t>_____________________________</w:t>
      </w:r>
      <w:r w:rsidRPr="00563ED2">
        <w:rPr>
          <w:rFonts w:ascii="Arial" w:hAnsi="Arial" w:cs="Arial"/>
          <w:sz w:val="22"/>
          <w:szCs w:val="22"/>
        </w:rPr>
        <w:t>___________________</w:t>
      </w:r>
    </w:p>
    <w:p w:rsidR="00DB634F" w:rsidRPr="00563ED2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15392" w:rsidRPr="00563ED2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62A48" w:rsidRPr="00563ED2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63ED2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828"/>
        <w:gridCol w:w="993"/>
        <w:gridCol w:w="993"/>
        <w:gridCol w:w="1275"/>
        <w:gridCol w:w="1343"/>
      </w:tblGrid>
      <w:tr w:rsidR="00C77340" w:rsidRPr="00563ED2" w:rsidTr="00245EBC">
        <w:trPr>
          <w:trHeight w:val="30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C77340" w:rsidRPr="00563ED2" w:rsidTr="00245EBC">
        <w:trPr>
          <w:trHeight w:val="7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340" w:rsidRPr="00563ED2" w:rsidRDefault="00C77340" w:rsidP="00245EB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Ravomicina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1.5 UI comprimido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R$ 3,67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340" w:rsidRPr="00563ED2" w:rsidRDefault="00C77340" w:rsidP="00245EB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R$ 7.216,00</w:t>
            </w:r>
          </w:p>
        </w:tc>
      </w:tr>
      <w:tr w:rsidR="00C77340" w:rsidRPr="00563ED2" w:rsidTr="00245EBC">
        <w:trPr>
          <w:trHeight w:val="70"/>
        </w:trPr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40" w:rsidRPr="00563ED2" w:rsidRDefault="00C77340" w:rsidP="00245E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40" w:rsidRPr="00563ED2" w:rsidRDefault="00C77340" w:rsidP="00245E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40" w:rsidRPr="00563ED2" w:rsidRDefault="00C77340" w:rsidP="00245E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40" w:rsidRPr="00563ED2" w:rsidRDefault="00C77340" w:rsidP="00245EB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40" w:rsidRPr="00563ED2" w:rsidRDefault="00C77340" w:rsidP="00245E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40" w:rsidRPr="00563ED2" w:rsidRDefault="00C77340" w:rsidP="00245EB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R$ 7.216,00</w:t>
            </w:r>
          </w:p>
        </w:tc>
      </w:tr>
    </w:tbl>
    <w:p w:rsidR="00F53C59" w:rsidRPr="00563ED2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63ED2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22" w:rsidRDefault="002F6422" w:rsidP="00662A48">
      <w:r>
        <w:separator/>
      </w:r>
    </w:p>
  </w:endnote>
  <w:endnote w:type="continuationSeparator" w:id="1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22" w:rsidRDefault="002F6422" w:rsidP="00662A48">
      <w:r>
        <w:separator/>
      </w:r>
    </w:p>
  </w:footnote>
  <w:footnote w:type="continuationSeparator" w:id="1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3F689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1506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426601" w:rsidRPr="009B642C" w:rsidRDefault="00426601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4746/2016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21505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50CFF" w:rsidRPr="009B642C" w:rsidRDefault="00250CFF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8"/>
    <o:shapelayout v:ext="edit">
      <o:idmap v:ext="edit" data="2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B12E8"/>
    <w:rsid w:val="000C061A"/>
    <w:rsid w:val="000D2C04"/>
    <w:rsid w:val="000E04F3"/>
    <w:rsid w:val="000E1414"/>
    <w:rsid w:val="000E2225"/>
    <w:rsid w:val="000E587E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F6892"/>
    <w:rsid w:val="00415392"/>
    <w:rsid w:val="00422538"/>
    <w:rsid w:val="00426601"/>
    <w:rsid w:val="0043270A"/>
    <w:rsid w:val="00432D1C"/>
    <w:rsid w:val="00454A37"/>
    <w:rsid w:val="00454B7E"/>
    <w:rsid w:val="004639C4"/>
    <w:rsid w:val="004672A7"/>
    <w:rsid w:val="00481258"/>
    <w:rsid w:val="00486632"/>
    <w:rsid w:val="00490476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D487D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8240F"/>
    <w:rsid w:val="00886E30"/>
    <w:rsid w:val="00893F3D"/>
    <w:rsid w:val="008A31D1"/>
    <w:rsid w:val="008B3B38"/>
    <w:rsid w:val="008C359D"/>
    <w:rsid w:val="008D1AA5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10B05"/>
    <w:rsid w:val="00E209E7"/>
    <w:rsid w:val="00E217DA"/>
    <w:rsid w:val="00E34E9A"/>
    <w:rsid w:val="00E4232D"/>
    <w:rsid w:val="00E455E4"/>
    <w:rsid w:val="00E4618A"/>
    <w:rsid w:val="00E46399"/>
    <w:rsid w:val="00E532D4"/>
    <w:rsid w:val="00E738CB"/>
    <w:rsid w:val="00E87853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1375-F6C1-4EEB-8C97-13B11E64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2016-03-14T19:27:00Z</cp:lastPrinted>
  <dcterms:created xsi:type="dcterms:W3CDTF">2016-08-13T12:55:00Z</dcterms:created>
  <dcterms:modified xsi:type="dcterms:W3CDTF">2016-08-13T12:55:00Z</dcterms:modified>
</cp:coreProperties>
</file>