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376FD8">
        <w:rPr>
          <w:rFonts w:ascii="Arial" w:hAnsi="Arial" w:cs="Arial"/>
          <w:b/>
          <w:bCs/>
          <w:color w:val="000000" w:themeColor="text1"/>
        </w:rPr>
        <w:t xml:space="preserve"> 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DD5EEB">
        <w:rPr>
          <w:rFonts w:ascii="Arial" w:hAnsi="Arial" w:cs="Arial"/>
          <w:b/>
          <w:bCs/>
          <w:color w:val="000000" w:themeColor="text1"/>
        </w:rPr>
        <w:t>6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376FD8">
        <w:rPr>
          <w:rFonts w:ascii="Arial" w:hAnsi="Arial" w:cs="Arial"/>
          <w:color w:val="000000" w:themeColor="text1"/>
        </w:rPr>
        <w:t>290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2016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DD5EEB">
        <w:rPr>
          <w:rFonts w:ascii="Arial" w:hAnsi="Arial"/>
          <w:color w:val="000000" w:themeColor="text1"/>
          <w:sz w:val="24"/>
        </w:rPr>
        <w:t>24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DD5EEB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376FD8">
        <w:rPr>
          <w:rFonts w:ascii="Arial" w:hAnsi="Arial"/>
          <w:color w:val="000000" w:themeColor="text1"/>
          <w:sz w:val="24"/>
        </w:rPr>
        <w:t>0</w:t>
      </w:r>
      <w:r w:rsidR="00DD5EEB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376FD8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Aquisição de material de construção em caráter de urgência, para atender a Secretaria Municipal de Administração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6200E5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É de fundamental importância o referido contrato, tendo em vista que a Secretaria Municipal de Administração atende os setores de CPL, RECURSOS HUMANOS, PROCURADORIA-GERAL DO MUNICÍPIO, ALMOXARIFADO, PATRIMÔNIO, PROTOCOLO, AUDITORIA, sendo assim faz-se necessário os referidos materiais de construção, a fim de manter em bom estado de conservação e atender as necessidades desta Secretaria. Tendo em vista que será feito a reforma no banheiro masculino e reforma no setor de almoxarifado central desta Prefeitura</w:t>
      </w:r>
      <w:r w:rsidR="0018396F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0B6F25">
        <w:rPr>
          <w:rFonts w:ascii="Arial" w:hAnsi="Arial" w:cs="Arial"/>
          <w:color w:val="000000" w:themeColor="text1"/>
        </w:rPr>
        <w:t>Administração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18396F">
        <w:rPr>
          <w:rFonts w:ascii="Arial" w:hAnsi="Arial" w:cs="Arial"/>
          <w:color w:val="000000" w:themeColor="text1"/>
        </w:rPr>
        <w:t>008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23B86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499F">
        <w:rPr>
          <w:rFonts w:ascii="Arial" w:hAnsi="Arial" w:cs="Arial"/>
          <w:b/>
          <w:color w:val="000000" w:themeColor="text1"/>
        </w:rPr>
        <w:t>ENTREGA</w:t>
      </w:r>
      <w:proofErr w:type="gramEnd"/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BF0D9F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ser feita no Almoxarifado Central da Prefeitura, em data e hora estabelecida pela Secretaria Municipal de Administração. E a fiscalização da conformidade dos materiais ficará a cargo da Comissão de Recebimento de Materiais.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E43798">
        <w:rPr>
          <w:rFonts w:ascii="Arial" w:hAnsi="Arial" w:cs="Arial"/>
          <w:color w:val="000000" w:themeColor="text1"/>
        </w:rPr>
        <w:t>90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E43798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DD5EEB">
        <w:rPr>
          <w:rFonts w:ascii="Arial" w:hAnsi="Arial" w:cs="Arial"/>
          <w:color w:val="000000" w:themeColor="text1"/>
        </w:rPr>
        <w:t>21</w:t>
      </w:r>
      <w:bookmarkStart w:id="0" w:name="_GoBack"/>
      <w:bookmarkEnd w:id="0"/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5A3D99">
        <w:rPr>
          <w:rFonts w:ascii="Arial" w:hAnsi="Arial" w:cs="Arial"/>
          <w:color w:val="000000" w:themeColor="text1"/>
        </w:rPr>
        <w:t>fevereiro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Pr="00047B66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4347"/>
        <w:gridCol w:w="794"/>
        <w:gridCol w:w="1060"/>
        <w:gridCol w:w="1061"/>
        <w:gridCol w:w="1234"/>
      </w:tblGrid>
      <w:tr w:rsidR="006E7AC5" w:rsidRPr="006E7AC5" w:rsidTr="006E7AC5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6E7AC5" w:rsidRPr="006E7AC5" w:rsidTr="008C6DD8">
        <w:trPr>
          <w:trHeight w:val="2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Caixa de descarga c/ tubo e </w:t>
            </w:r>
            <w:proofErr w:type="spellStart"/>
            <w:r w:rsidRPr="006E7AC5">
              <w:rPr>
                <w:rFonts w:ascii="Arial" w:hAnsi="Arial" w:cs="Arial"/>
                <w:color w:val="000000"/>
                <w:lang w:eastAsia="pt-BR"/>
              </w:rPr>
              <w:t>plug</w:t>
            </w:r>
            <w:proofErr w:type="spellEnd"/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 flexível de </w:t>
            </w: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40cm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E7AC5" w:rsidRPr="006E7AC5" w:rsidTr="008C6DD8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Lâmpada 45 W 90 </w:t>
            </w: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130V</w:t>
            </w:r>
            <w:proofErr w:type="gramEnd"/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 ( 50-60Hs)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E7AC5" w:rsidRPr="006E7AC5" w:rsidTr="008C6DD8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Luva emborracha p/ limpeza média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E7AC5" w:rsidRPr="006E7AC5" w:rsidTr="008C6DD8">
        <w:trPr>
          <w:trHeight w:val="2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Tampa em PVC p/ vaso sanitário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E7AC5" w:rsidRPr="006E7AC5" w:rsidTr="008C6DD8">
        <w:trPr>
          <w:trHeight w:val="2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Soquete para lâmpada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E7AC5" w:rsidRPr="006E7AC5" w:rsidTr="006E7AC5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C5" w:rsidRPr="006E7AC5" w:rsidRDefault="006E7AC5" w:rsidP="006E7A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C5" w:rsidRPr="006E7AC5" w:rsidRDefault="006E7AC5" w:rsidP="006E7A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C5" w:rsidRPr="006E7AC5" w:rsidRDefault="006E7AC5" w:rsidP="006E7A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C5" w:rsidRPr="006E7AC5" w:rsidRDefault="006E7AC5" w:rsidP="006E7A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AC5" w:rsidRPr="006E7AC5" w:rsidRDefault="006E7AC5" w:rsidP="006E7A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4079"/>
        <w:gridCol w:w="794"/>
        <w:gridCol w:w="1060"/>
        <w:gridCol w:w="1115"/>
        <w:gridCol w:w="1448"/>
      </w:tblGrid>
      <w:tr w:rsidR="008C6DD8" w:rsidRPr="006E7AC5" w:rsidTr="00C1490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8C6DD8" w:rsidRPr="006E7AC5" w:rsidTr="00C14902">
        <w:trPr>
          <w:trHeight w:val="2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Caixa de descarga c/ tubo e </w:t>
            </w:r>
            <w:proofErr w:type="spellStart"/>
            <w:r w:rsidRPr="006E7AC5">
              <w:rPr>
                <w:rFonts w:ascii="Arial" w:hAnsi="Arial" w:cs="Arial"/>
                <w:color w:val="000000"/>
                <w:lang w:eastAsia="pt-BR"/>
              </w:rPr>
              <w:t>plug</w:t>
            </w:r>
            <w:proofErr w:type="spellEnd"/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 flexível de </w:t>
            </w: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40cm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R$ 34,89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R$ 209,32</w:t>
            </w:r>
          </w:p>
        </w:tc>
      </w:tr>
      <w:tr w:rsidR="008C6DD8" w:rsidRPr="006E7AC5" w:rsidTr="00C1490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Lâmpada 45 W 90 </w:t>
            </w: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130V</w:t>
            </w:r>
            <w:proofErr w:type="gramEnd"/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 ( 50-60Hs)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R$ 35,36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R$ 1.768,17</w:t>
            </w:r>
          </w:p>
        </w:tc>
      </w:tr>
      <w:tr w:rsidR="008C6DD8" w:rsidRPr="006E7AC5" w:rsidTr="00C1490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Luva emborracha p/ limpeza média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R$ 4,83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R$ 9,67</w:t>
            </w:r>
          </w:p>
        </w:tc>
      </w:tr>
      <w:tr w:rsidR="008C6DD8" w:rsidRPr="006E7AC5" w:rsidTr="00C14902">
        <w:trPr>
          <w:trHeight w:val="2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Tampa em PVC p/ vaso sanitário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R$ 20,83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R$ 208,33</w:t>
            </w:r>
          </w:p>
        </w:tc>
      </w:tr>
      <w:tr w:rsidR="008C6DD8" w:rsidRPr="006E7AC5" w:rsidTr="00C14902">
        <w:trPr>
          <w:trHeight w:val="2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E7AC5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 xml:space="preserve">Soquete para lâmpada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UNID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R$ 3,23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color w:val="000000"/>
                <w:lang w:eastAsia="pt-BR"/>
              </w:rPr>
              <w:t>R$ 32,33</w:t>
            </w:r>
          </w:p>
        </w:tc>
      </w:tr>
      <w:tr w:rsidR="008C6DD8" w:rsidRPr="006E7AC5" w:rsidTr="00C14902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D8" w:rsidRPr="006E7AC5" w:rsidRDefault="008C6DD8" w:rsidP="00C1490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D8" w:rsidRPr="006E7AC5" w:rsidRDefault="008C6DD8" w:rsidP="00C1490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D8" w:rsidRPr="006E7AC5" w:rsidRDefault="008C6DD8" w:rsidP="00C1490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D8" w:rsidRPr="006E7AC5" w:rsidRDefault="008C6DD8" w:rsidP="00C1490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DD8" w:rsidRPr="006E7AC5" w:rsidRDefault="008C6DD8" w:rsidP="00C149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E7AC5">
              <w:rPr>
                <w:rFonts w:ascii="Arial" w:hAnsi="Arial" w:cs="Arial"/>
                <w:b/>
                <w:bCs/>
                <w:color w:val="000000"/>
                <w:lang w:eastAsia="pt-BR"/>
              </w:rPr>
              <w:t>R$ 2.227,82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2E0FBD">
      <w:rPr>
        <w:rFonts w:ascii="Arial" w:hAnsi="Arial" w:cs="Arial"/>
        <w:b/>
        <w:bCs/>
        <w:color w:val="808080"/>
        <w:sz w:val="18"/>
      </w:rPr>
      <w:t xml:space="preserve">Departamento </w:t>
    </w:r>
    <w:r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</w:t>
    </w:r>
    <w:r w:rsidR="002E0FBD">
      <w:rPr>
        <w:rFonts w:ascii="Arial" w:hAnsi="Arial" w:cs="Arial"/>
        <w:b/>
        <w:bCs/>
        <w:color w:val="808080"/>
        <w:sz w:val="18"/>
      </w:rPr>
      <w:t>O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1A7A00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8370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2E0FBD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290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8369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O/h&#10;xPrfAAAACgEAAA8AAAAAAAAAAAAAAAAAEwUAAGRycy9kb3ducmV2LnhtbFBLBQYAAAAABAAEAPMA&#10;AAAf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2"/>
    <o:shapelayout v:ext="edit">
      <o:idmap v:ext="edit" data="5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A7A00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2532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E7AC5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5EEB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A655-7AC8-4640-A14D-8D1E38ED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2017-02-06T19:25:00Z</cp:lastPrinted>
  <dcterms:created xsi:type="dcterms:W3CDTF">2017-02-22T11:39:00Z</dcterms:created>
  <dcterms:modified xsi:type="dcterms:W3CDTF">2017-02-22T11:39:00Z</dcterms:modified>
</cp:coreProperties>
</file>