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042BFF">
        <w:rPr>
          <w:rFonts w:ascii="Arial" w:hAnsi="Arial" w:cs="Arial"/>
          <w:b/>
          <w:bCs/>
        </w:rPr>
        <w:t>12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9721DD" w:rsidRPr="00042BFF">
        <w:rPr>
          <w:rFonts w:ascii="Arial" w:hAnsi="Arial" w:cs="Arial"/>
        </w:rPr>
        <w:t>5618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2016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042BFF">
        <w:rPr>
          <w:rFonts w:ascii="Arial" w:hAnsi="Arial"/>
          <w:sz w:val="24"/>
        </w:rPr>
        <w:t xml:space="preserve">Data limite para entrega da proposta: dia </w:t>
      </w:r>
      <w:r w:rsidR="00B4498E">
        <w:rPr>
          <w:rFonts w:ascii="Arial" w:hAnsi="Arial"/>
          <w:sz w:val="24"/>
        </w:rPr>
        <w:t>22</w:t>
      </w:r>
      <w:r w:rsidR="008E01B1" w:rsidRPr="00042BFF">
        <w:rPr>
          <w:rFonts w:ascii="Arial" w:hAnsi="Arial"/>
          <w:sz w:val="24"/>
        </w:rPr>
        <w:t>/</w:t>
      </w:r>
      <w:r w:rsidR="0067343C" w:rsidRPr="00042BFF">
        <w:rPr>
          <w:rFonts w:ascii="Arial" w:hAnsi="Arial"/>
          <w:sz w:val="24"/>
        </w:rPr>
        <w:t>0</w:t>
      </w:r>
      <w:r w:rsidR="00B4498E">
        <w:rPr>
          <w:rFonts w:ascii="Arial" w:hAnsi="Arial"/>
          <w:sz w:val="24"/>
        </w:rPr>
        <w:t>3</w:t>
      </w:r>
      <w:r w:rsidR="007D4F59" w:rsidRPr="00042BFF">
        <w:rPr>
          <w:rFonts w:ascii="Arial" w:hAnsi="Arial"/>
          <w:sz w:val="24"/>
        </w:rPr>
        <w:t>/</w:t>
      </w:r>
      <w:r w:rsidR="009A3A4C" w:rsidRPr="00042BFF">
        <w:rPr>
          <w:rFonts w:ascii="Arial" w:hAnsi="Arial"/>
          <w:sz w:val="24"/>
        </w:rPr>
        <w:t>201</w:t>
      </w:r>
      <w:r w:rsidR="00B4498E">
        <w:rPr>
          <w:rFonts w:ascii="Arial" w:hAnsi="Arial"/>
          <w:sz w:val="24"/>
        </w:rPr>
        <w:t>7</w:t>
      </w:r>
      <w:r w:rsidRPr="00042BFF">
        <w:rPr>
          <w:rFonts w:ascii="Arial" w:hAnsi="Arial"/>
          <w:sz w:val="24"/>
        </w:rPr>
        <w:t xml:space="preserve"> às </w:t>
      </w:r>
      <w:proofErr w:type="gramStart"/>
      <w:r w:rsidR="00E3046B" w:rsidRPr="00042BFF">
        <w:rPr>
          <w:rFonts w:ascii="Arial" w:hAnsi="Arial"/>
          <w:sz w:val="24"/>
        </w:rPr>
        <w:t>0</w:t>
      </w:r>
      <w:r w:rsidR="00B4498E">
        <w:rPr>
          <w:rFonts w:ascii="Arial" w:hAnsi="Arial"/>
          <w:sz w:val="24"/>
        </w:rPr>
        <w:t>9</w:t>
      </w:r>
      <w:r w:rsidR="008E01B1" w:rsidRPr="00042BFF">
        <w:rPr>
          <w:rFonts w:ascii="Arial" w:hAnsi="Arial"/>
          <w:sz w:val="24"/>
        </w:rPr>
        <w:t>:</w:t>
      </w:r>
      <w:r w:rsidR="004E6DC0" w:rsidRPr="00042BFF">
        <w:rPr>
          <w:rFonts w:ascii="Arial" w:hAnsi="Arial"/>
          <w:sz w:val="24"/>
        </w:rPr>
        <w:t>0</w:t>
      </w:r>
      <w:r w:rsidRPr="00042BFF">
        <w:rPr>
          <w:rFonts w:ascii="Arial" w:hAnsi="Arial"/>
          <w:sz w:val="24"/>
        </w:rPr>
        <w:t>0</w:t>
      </w:r>
      <w:proofErr w:type="gramEnd"/>
      <w:r w:rsidR="008E01B1" w:rsidRPr="00042BFF">
        <w:rPr>
          <w:rFonts w:ascii="Arial" w:hAnsi="Arial"/>
          <w:sz w:val="24"/>
        </w:rPr>
        <w:t>min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manutenção corretiva </w:t>
      </w:r>
      <w:r w:rsidR="00B4498E">
        <w:rPr>
          <w:rFonts w:ascii="Arial" w:hAnsi="Arial" w:cs="Arial"/>
        </w:rPr>
        <w:t xml:space="preserve">do parelho de </w:t>
      </w:r>
      <w:proofErr w:type="spellStart"/>
      <w:r w:rsidR="00B4498E">
        <w:rPr>
          <w:rFonts w:ascii="Arial" w:hAnsi="Arial" w:cs="Arial"/>
        </w:rPr>
        <w:t>ultrassonografia</w:t>
      </w:r>
      <w:proofErr w:type="spellEnd"/>
      <w:r w:rsidR="00B4498E">
        <w:rPr>
          <w:rFonts w:ascii="Arial" w:hAnsi="Arial" w:cs="Arial"/>
        </w:rPr>
        <w:t xml:space="preserve"> </w:t>
      </w:r>
      <w:proofErr w:type="spellStart"/>
      <w:r w:rsidR="00B4498E">
        <w:rPr>
          <w:rFonts w:ascii="Arial" w:hAnsi="Arial" w:cs="Arial"/>
        </w:rPr>
        <w:t>A</w:t>
      </w:r>
      <w:r w:rsidRPr="00042BFF">
        <w:rPr>
          <w:rFonts w:ascii="Arial" w:hAnsi="Arial" w:cs="Arial"/>
        </w:rPr>
        <w:t>ccuvix</w:t>
      </w:r>
      <w:proofErr w:type="spellEnd"/>
      <w:r w:rsidRPr="00042BFF">
        <w:rPr>
          <w:rFonts w:ascii="Arial" w:hAnsi="Arial" w:cs="Arial"/>
        </w:rPr>
        <w:t xml:space="preserve"> V10 – Samsu</w:t>
      </w:r>
      <w:r w:rsidR="00B4498E">
        <w:rPr>
          <w:rFonts w:ascii="Arial" w:hAnsi="Arial" w:cs="Arial"/>
        </w:rPr>
        <w:t>n</w:t>
      </w:r>
      <w:r w:rsidRPr="00042BFF">
        <w:rPr>
          <w:rFonts w:ascii="Arial" w:hAnsi="Arial" w:cs="Arial"/>
        </w:rPr>
        <w:t>g do Hospital Municipal Amélio João da Silva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Este projeto t</w:t>
      </w:r>
      <w:r w:rsidRPr="00042BFF">
        <w:rPr>
          <w:rFonts w:ascii="Arial" w:hAnsi="Arial" w:cs="Arial"/>
          <w:color w:val="333333"/>
        </w:rPr>
        <w:t>em como objetivo a contratação dos</w:t>
      </w:r>
      <w:r w:rsidRPr="00042BFF">
        <w:rPr>
          <w:rFonts w:ascii="Arial" w:hAnsi="Arial" w:cs="Arial"/>
        </w:rPr>
        <w:t xml:space="preserve"> serviços para manutenção corretiva do Aparelho de Ultrassonografia do Hospital Municipal Amélio João da Silva.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é polo regional de saúde, cuja área de abrangência conta com 09(nove) municípios: Alta Floresta do Oeste, Alto Alegre dos Parecis, Castanheiras, Parecis, Santa Luzia d´Oeste, São Miguel do Guaporé, Nova Brasilândia, Novo Horizonte d´Oeste e Seringueiras, além deste município. 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O Hospital Municipal conta somente com este aparelho de Ultrassonografia que é utilizado diariamente. Assim, torna-se imperativo realizar o conserto e manutenção corretiva do aparelho, para que esteja em pleno funcionamento. 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  <w:color w:val="333333"/>
        </w:rPr>
      </w:pPr>
      <w:r w:rsidRPr="00042BFF">
        <w:rPr>
          <w:rFonts w:ascii="Arial" w:hAnsi="Arial" w:cs="Arial"/>
        </w:rPr>
        <w:t>Diante do exposto, é que se elaborou o presente projeto para atender a demanda e garantir maior a</w:t>
      </w:r>
      <w:r w:rsidRPr="00042BFF">
        <w:rPr>
          <w:rFonts w:ascii="Arial" w:hAnsi="Arial" w:cs="Arial"/>
          <w:color w:val="333333"/>
        </w:rPr>
        <w:t>gilidade e precisão no diagnóstico de quem precisa de atendimento de urgência e emergência do Hospital Municipal.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As especificações e quantidades estão descritas nos </w:t>
      </w:r>
      <w:r w:rsidRPr="00042BFF">
        <w:rPr>
          <w:rFonts w:ascii="Arial" w:hAnsi="Arial" w:cs="Arial"/>
          <w:b/>
        </w:rPr>
        <w:t>SAMS 096/2016</w:t>
      </w:r>
      <w:r w:rsidRPr="00042BFF">
        <w:rPr>
          <w:rFonts w:ascii="Arial" w:hAnsi="Arial" w:cs="Arial"/>
        </w:rPr>
        <w:t>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r w:rsidR="009721DD" w:rsidRPr="00042BFF">
        <w:rPr>
          <w:rFonts w:ascii="Arial" w:hAnsi="Arial" w:cs="Arial"/>
          <w:color w:val="000000"/>
        </w:rPr>
        <w:t xml:space="preserve">Saúde </w:t>
      </w:r>
      <w:r w:rsidRPr="00042BFF">
        <w:rPr>
          <w:rFonts w:ascii="Arial" w:hAnsi="Arial" w:cs="Arial"/>
          <w:color w:val="000000"/>
        </w:rPr>
        <w:t>Projetos: 2.</w:t>
      </w:r>
      <w:r w:rsidR="009721DD" w:rsidRPr="00042BFF">
        <w:rPr>
          <w:rFonts w:ascii="Arial" w:hAnsi="Arial" w:cs="Arial"/>
          <w:color w:val="000000"/>
        </w:rPr>
        <w:t>140 e 2.141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lastRenderedPageBreak/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9721DD" w:rsidP="009721DD">
      <w:pPr>
        <w:spacing w:line="276" w:lineRule="auto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6.1 Manter enquanto </w:t>
      </w:r>
      <w:proofErr w:type="gramStart"/>
      <w:r w:rsidRPr="00042BFF">
        <w:rPr>
          <w:rFonts w:ascii="Arial" w:hAnsi="Arial" w:cs="Arial"/>
        </w:rPr>
        <w:t>estiver</w:t>
      </w:r>
      <w:proofErr w:type="gramEnd"/>
      <w:r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9721DD" w:rsidP="009721DD">
      <w:pPr>
        <w:spacing w:line="276" w:lineRule="auto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6.2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42BFF">
        <w:rPr>
          <w:rFonts w:ascii="Arial" w:eastAsia="Calibri" w:hAnsi="Arial" w:cs="Arial"/>
          <w:lang w:eastAsia="en-US"/>
        </w:rPr>
        <w:t>6.3 O fornecedor deve ser responsável por vícios ou defeitos da troca das peças e serviços prestados, bem como desgastes anormais das peças, obrigando-se a ressarcir os danos e substituir os elementos defeituosos, sem ônus à instituição.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>, ampla, irrestrita e permanente fiscalização durante toda a execução da entrega das peças e 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produtos,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08</w:t>
      </w:r>
      <w:r w:rsidR="00B1176B" w:rsidRPr="00042BFF">
        <w:rPr>
          <w:rFonts w:ascii="Arial" w:hAnsi="Arial" w:cs="Arial"/>
          <w:b/>
        </w:rPr>
        <w:t xml:space="preserve"> – DOS EQUIPAMENTOS</w:t>
      </w:r>
    </w:p>
    <w:p w:rsidR="00B1176B" w:rsidRPr="00042BFF" w:rsidRDefault="00B1176B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2BFF" w:rsidRDefault="00B1176B" w:rsidP="00B1176B">
      <w:pPr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09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Pr="00042BFF">
        <w:rPr>
          <w:rFonts w:ascii="Arial" w:hAnsi="Arial" w:cs="Arial"/>
        </w:rPr>
        <w:t>60</w:t>
      </w:r>
      <w:r w:rsidR="00C80FFE" w:rsidRPr="00042BFF">
        <w:rPr>
          <w:rFonts w:ascii="Arial" w:hAnsi="Arial" w:cs="Arial"/>
        </w:rPr>
        <w:t xml:space="preserve"> (</w:t>
      </w:r>
      <w:r w:rsidRPr="00042BFF">
        <w:rPr>
          <w:rFonts w:ascii="Arial" w:hAnsi="Arial" w:cs="Arial"/>
        </w:rPr>
        <w:t>sessenta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10 –</w:t>
      </w:r>
      <w:r w:rsidR="00196BC3" w:rsidRPr="00042BFF">
        <w:rPr>
          <w:rFonts w:ascii="Arial" w:hAnsi="Arial" w:cs="Arial"/>
          <w:b/>
        </w:rPr>
        <w:t>REQUISITOSPARA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1</w:t>
      </w:r>
      <w:r w:rsidR="00805ACD" w:rsidRPr="00042BFF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805ACD" w:rsidRPr="00042BFF">
        <w:rPr>
          <w:rFonts w:ascii="Arial" w:hAnsi="Arial" w:cs="Arial"/>
          <w:b/>
        </w:rPr>
        <w:t>2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67343C" w:rsidRPr="00042BFF">
        <w:rPr>
          <w:rFonts w:ascii="Arial" w:hAnsi="Arial" w:cs="Arial"/>
          <w:b/>
        </w:rPr>
        <w:t>00</w:t>
      </w:r>
      <w:r w:rsidR="002E262D" w:rsidRPr="00042BFF">
        <w:rPr>
          <w:rFonts w:ascii="Arial" w:hAnsi="Arial" w:cs="Arial"/>
          <w:b/>
        </w:rPr>
        <w:t>0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13 – DA GARANTIA DOS EQUIPAMENTOS</w:t>
      </w:r>
    </w:p>
    <w:p w:rsidR="009721DD" w:rsidRPr="00042BFF" w:rsidRDefault="009721DD" w:rsidP="00557789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garantia das peças substituídas e a prestação de serviço são de total responsabilidade da empresa vencedora, sendo exigida garantia de no mínimo de 01 (um) ano.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9721DD" w:rsidRPr="00042BFF">
        <w:rPr>
          <w:rFonts w:ascii="Arial" w:hAnsi="Arial" w:cs="Arial"/>
          <w:b/>
        </w:rPr>
        <w:t>4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557789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indicar pessoa pelo acompanhamento da entrega das peças com poderes para dirimir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B4498E">
        <w:rPr>
          <w:rFonts w:ascii="Arial" w:hAnsi="Arial" w:cs="Arial"/>
        </w:rPr>
        <w:t>20</w:t>
      </w:r>
      <w:r w:rsidR="009721DD" w:rsidRPr="00042BFF">
        <w:rPr>
          <w:rFonts w:ascii="Arial" w:hAnsi="Arial" w:cs="Arial"/>
        </w:rPr>
        <w:t xml:space="preserve"> de </w:t>
      </w:r>
      <w:r w:rsidR="00B4498E">
        <w:rPr>
          <w:rFonts w:ascii="Arial" w:hAnsi="Arial" w:cs="Arial"/>
        </w:rPr>
        <w:t>março</w:t>
      </w:r>
      <w:r w:rsidR="00983E09" w:rsidRPr="00042BFF">
        <w:rPr>
          <w:rFonts w:ascii="Arial" w:hAnsi="Arial" w:cs="Arial"/>
        </w:rPr>
        <w:t>de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166760" w:rsidRPr="00042BFF">
        <w:rPr>
          <w:rFonts w:ascii="Arial" w:hAnsi="Arial" w:cs="Arial"/>
        </w:rPr>
        <w:t>112</w:t>
      </w:r>
      <w:r w:rsidRPr="00042BFF">
        <w:rPr>
          <w:rFonts w:ascii="Arial" w:hAnsi="Arial" w:cs="Arial"/>
        </w:rPr>
        <w:t>/201</w:t>
      </w:r>
      <w:r w:rsidR="00166760" w:rsidRPr="00042BFF">
        <w:rPr>
          <w:rFonts w:ascii="Arial" w:hAnsi="Arial" w:cs="Arial"/>
        </w:rPr>
        <w:t>6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1049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1479"/>
        <w:gridCol w:w="4620"/>
        <w:gridCol w:w="880"/>
        <w:gridCol w:w="990"/>
        <w:gridCol w:w="1210"/>
        <w:gridCol w:w="1320"/>
      </w:tblGrid>
      <w:tr w:rsidR="00844A12" w:rsidRPr="00844A12" w:rsidTr="00557789">
        <w:tc>
          <w:tcPr>
            <w:tcW w:w="1479" w:type="dxa"/>
            <w:shd w:val="clear" w:color="auto" w:fill="FFFFFF"/>
          </w:tcPr>
          <w:p w:rsidR="009721DD" w:rsidRPr="00844A12" w:rsidRDefault="009721DD" w:rsidP="009721DD">
            <w:pPr>
              <w:pStyle w:val="Ttulo5"/>
              <w:spacing w:line="360" w:lineRule="auto"/>
              <w:rPr>
                <w:rFonts w:ascii="Arial" w:hAnsi="Arial"/>
                <w:bCs w:val="0"/>
                <w:color w:val="000000" w:themeColor="text1"/>
                <w:sz w:val="24"/>
              </w:rPr>
            </w:pPr>
            <w:r w:rsidRPr="00844A12">
              <w:rPr>
                <w:rFonts w:ascii="Arial" w:hAnsi="Arial"/>
                <w:color w:val="000000" w:themeColor="text1"/>
                <w:sz w:val="24"/>
              </w:rPr>
              <w:t>Item</w:t>
            </w:r>
          </w:p>
        </w:tc>
        <w:tc>
          <w:tcPr>
            <w:tcW w:w="4620" w:type="dxa"/>
            <w:shd w:val="clear" w:color="auto" w:fill="FFFFFF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880" w:type="dxa"/>
            <w:shd w:val="clear" w:color="auto" w:fill="FFFFFF"/>
          </w:tcPr>
          <w:p w:rsidR="009721DD" w:rsidRPr="00844A12" w:rsidRDefault="009721DD" w:rsidP="009721DD">
            <w:pPr>
              <w:pStyle w:val="Ttulo2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4A12">
              <w:rPr>
                <w:rFonts w:ascii="Arial" w:hAnsi="Arial" w:cs="Arial"/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44A1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FFFFFF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Quant.</w:t>
            </w:r>
          </w:p>
        </w:tc>
        <w:tc>
          <w:tcPr>
            <w:tcW w:w="1210" w:type="dxa"/>
            <w:shd w:val="clear" w:color="auto" w:fill="FFFFFF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V. Unit.</w:t>
            </w:r>
          </w:p>
        </w:tc>
        <w:tc>
          <w:tcPr>
            <w:tcW w:w="1320" w:type="dxa"/>
            <w:shd w:val="clear" w:color="auto" w:fill="FFFFFF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V. Total</w:t>
            </w:r>
          </w:p>
        </w:tc>
      </w:tr>
      <w:tr w:rsidR="00844A12" w:rsidRPr="00844A12" w:rsidTr="00557789">
        <w:tc>
          <w:tcPr>
            <w:tcW w:w="1479" w:type="dxa"/>
            <w:vAlign w:val="center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4620" w:type="dxa"/>
            <w:vAlign w:val="center"/>
          </w:tcPr>
          <w:p w:rsidR="009721DD" w:rsidRPr="00844A12" w:rsidRDefault="009721DD" w:rsidP="009721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Serviços de recuperação de sistema operacional modelo </w:t>
            </w:r>
            <w:proofErr w:type="spellStart"/>
            <w:proofErr w:type="gramStart"/>
            <w:r w:rsidRPr="00844A12">
              <w:rPr>
                <w:rFonts w:ascii="Arial" w:hAnsi="Arial" w:cs="Arial"/>
                <w:bCs/>
                <w:color w:val="000000" w:themeColor="text1"/>
              </w:rPr>
              <w:t>samsung</w:t>
            </w:r>
            <w:proofErr w:type="spellEnd"/>
            <w:proofErr w:type="gramEnd"/>
          </w:p>
        </w:tc>
        <w:tc>
          <w:tcPr>
            <w:tcW w:w="88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9721DD" w:rsidRPr="00844A12" w:rsidRDefault="009721DD" w:rsidP="009721DD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844A12" w:rsidRPr="00844A12" w:rsidTr="00557789">
        <w:tc>
          <w:tcPr>
            <w:tcW w:w="1479" w:type="dxa"/>
            <w:vAlign w:val="center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4620" w:type="dxa"/>
            <w:vAlign w:val="center"/>
          </w:tcPr>
          <w:p w:rsidR="009721DD" w:rsidRPr="00844A12" w:rsidRDefault="009721DD" w:rsidP="009721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Serviço de reparo em sistema de controle do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ultrassom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Accuvix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V10 - Samsung</w:t>
            </w:r>
          </w:p>
        </w:tc>
        <w:tc>
          <w:tcPr>
            <w:tcW w:w="88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9721DD" w:rsidRPr="00844A12" w:rsidRDefault="009721DD" w:rsidP="009721DD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844A12" w:rsidRPr="00844A12" w:rsidTr="00557789">
        <w:tc>
          <w:tcPr>
            <w:tcW w:w="1479" w:type="dxa"/>
            <w:vAlign w:val="center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4620" w:type="dxa"/>
            <w:vAlign w:val="center"/>
          </w:tcPr>
          <w:p w:rsidR="009721DD" w:rsidRPr="00844A12" w:rsidRDefault="009721DD" w:rsidP="009721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Serviço reparo do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storage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do Samsung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Accuvix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V10 </w:t>
            </w:r>
          </w:p>
        </w:tc>
        <w:tc>
          <w:tcPr>
            <w:tcW w:w="88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9721DD" w:rsidRPr="00844A12" w:rsidRDefault="009721DD" w:rsidP="009721DD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844A12" w:rsidRPr="00844A12" w:rsidTr="00557789">
        <w:tc>
          <w:tcPr>
            <w:tcW w:w="1479" w:type="dxa"/>
            <w:vAlign w:val="center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4620" w:type="dxa"/>
            <w:vAlign w:val="center"/>
          </w:tcPr>
          <w:p w:rsidR="009721DD" w:rsidRPr="00844A12" w:rsidRDefault="009721DD" w:rsidP="009721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Serviço de instalação, manutenção, limpeza, configuração e controle</w:t>
            </w:r>
          </w:p>
        </w:tc>
        <w:tc>
          <w:tcPr>
            <w:tcW w:w="88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9721DD" w:rsidRPr="00844A12" w:rsidRDefault="009721DD" w:rsidP="009721DD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844A12" w:rsidRPr="00844A12" w:rsidTr="00557789">
        <w:tc>
          <w:tcPr>
            <w:tcW w:w="1479" w:type="dxa"/>
            <w:vAlign w:val="center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4620" w:type="dxa"/>
            <w:vAlign w:val="center"/>
          </w:tcPr>
          <w:p w:rsidR="009721DD" w:rsidRPr="00844A12" w:rsidRDefault="009721DD" w:rsidP="009721D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Serviço de recuperação de dados do sistema e backup</w:t>
            </w:r>
          </w:p>
        </w:tc>
        <w:tc>
          <w:tcPr>
            <w:tcW w:w="88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9721DD" w:rsidRPr="00844A12" w:rsidRDefault="009721DD" w:rsidP="009721DD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:rsidR="009721DD" w:rsidRPr="00844A12" w:rsidRDefault="009721DD" w:rsidP="009721DD">
            <w:pPr>
              <w:tabs>
                <w:tab w:val="left" w:pos="1440"/>
              </w:tabs>
              <w:spacing w:line="360" w:lineRule="auto"/>
              <w:jc w:val="right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844A12" w:rsidRPr="00844A12" w:rsidTr="00557789">
        <w:trPr>
          <w:cantSplit/>
        </w:trPr>
        <w:tc>
          <w:tcPr>
            <w:tcW w:w="7969" w:type="dxa"/>
            <w:gridSpan w:val="4"/>
          </w:tcPr>
          <w:p w:rsidR="009721DD" w:rsidRPr="00844A12" w:rsidRDefault="009721DD" w:rsidP="009721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T O T A L</w:t>
            </w:r>
          </w:p>
        </w:tc>
        <w:tc>
          <w:tcPr>
            <w:tcW w:w="1210" w:type="dxa"/>
            <w:vAlign w:val="bottom"/>
          </w:tcPr>
          <w:p w:rsidR="009721DD" w:rsidRPr="00844A12" w:rsidRDefault="009721DD" w:rsidP="009721DD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</w:tcPr>
          <w:p w:rsidR="009721DD" w:rsidRPr="00844A12" w:rsidRDefault="009721DD" w:rsidP="009721D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042BFF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1035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1337"/>
        <w:gridCol w:w="4620"/>
        <w:gridCol w:w="880"/>
        <w:gridCol w:w="990"/>
        <w:gridCol w:w="1210"/>
        <w:gridCol w:w="1320"/>
      </w:tblGrid>
      <w:tr w:rsidR="00844A12" w:rsidRPr="00844A12" w:rsidTr="0021157E">
        <w:tc>
          <w:tcPr>
            <w:tcW w:w="1337" w:type="dxa"/>
            <w:shd w:val="clear" w:color="auto" w:fill="FFFFFF"/>
          </w:tcPr>
          <w:p w:rsidR="0021157E" w:rsidRPr="00844A12" w:rsidRDefault="0021157E" w:rsidP="0021157E">
            <w:pPr>
              <w:pStyle w:val="Ttulo5"/>
              <w:spacing w:line="360" w:lineRule="auto"/>
              <w:jc w:val="left"/>
              <w:rPr>
                <w:rFonts w:ascii="Arial" w:hAnsi="Arial"/>
                <w:bCs w:val="0"/>
                <w:color w:val="000000" w:themeColor="text1"/>
                <w:sz w:val="24"/>
              </w:rPr>
            </w:pPr>
            <w:proofErr w:type="gramStart"/>
            <w:r w:rsidRPr="00844A12">
              <w:rPr>
                <w:rFonts w:ascii="Arial" w:hAnsi="Arial"/>
                <w:color w:val="000000" w:themeColor="text1"/>
                <w:sz w:val="24"/>
              </w:rPr>
              <w:t>tem</w:t>
            </w:r>
            <w:proofErr w:type="gramEnd"/>
          </w:p>
        </w:tc>
        <w:tc>
          <w:tcPr>
            <w:tcW w:w="4620" w:type="dxa"/>
            <w:shd w:val="clear" w:color="auto" w:fill="FFFFFF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Especificação</w:t>
            </w:r>
          </w:p>
        </w:tc>
        <w:tc>
          <w:tcPr>
            <w:tcW w:w="880" w:type="dxa"/>
            <w:shd w:val="clear" w:color="auto" w:fill="FFFFFF"/>
          </w:tcPr>
          <w:p w:rsidR="0021157E" w:rsidRPr="00844A12" w:rsidRDefault="0021157E" w:rsidP="00C640EF">
            <w:pPr>
              <w:pStyle w:val="Ttulo2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4A12">
              <w:rPr>
                <w:rFonts w:ascii="Arial" w:hAnsi="Arial" w:cs="Arial"/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44A1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FFFFFF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Quant.</w:t>
            </w:r>
          </w:p>
        </w:tc>
        <w:tc>
          <w:tcPr>
            <w:tcW w:w="1210" w:type="dxa"/>
            <w:shd w:val="clear" w:color="auto" w:fill="FFFFFF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V. Unit.</w:t>
            </w:r>
          </w:p>
        </w:tc>
        <w:tc>
          <w:tcPr>
            <w:tcW w:w="1320" w:type="dxa"/>
            <w:shd w:val="clear" w:color="auto" w:fill="FFFFFF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V. Total</w:t>
            </w:r>
          </w:p>
        </w:tc>
      </w:tr>
      <w:tr w:rsidR="00844A12" w:rsidRPr="00844A12" w:rsidTr="00496DBA">
        <w:tc>
          <w:tcPr>
            <w:tcW w:w="1337" w:type="dxa"/>
            <w:vAlign w:val="center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4620" w:type="dxa"/>
            <w:vAlign w:val="center"/>
          </w:tcPr>
          <w:p w:rsidR="0021157E" w:rsidRPr="00844A12" w:rsidRDefault="0021157E" w:rsidP="00C640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Serviços de recuperação de sistema operacional modelo </w:t>
            </w:r>
            <w:proofErr w:type="spellStart"/>
            <w:proofErr w:type="gramStart"/>
            <w:r w:rsidRPr="00844A12">
              <w:rPr>
                <w:rFonts w:ascii="Arial" w:hAnsi="Arial" w:cs="Arial"/>
                <w:bCs/>
                <w:color w:val="000000" w:themeColor="text1"/>
              </w:rPr>
              <w:t>samsung</w:t>
            </w:r>
            <w:proofErr w:type="spellEnd"/>
            <w:proofErr w:type="gramEnd"/>
          </w:p>
        </w:tc>
        <w:tc>
          <w:tcPr>
            <w:tcW w:w="88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1.340,00</w:t>
            </w:r>
          </w:p>
        </w:tc>
        <w:tc>
          <w:tcPr>
            <w:tcW w:w="132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1.340,00</w:t>
            </w:r>
          </w:p>
        </w:tc>
      </w:tr>
      <w:tr w:rsidR="00844A12" w:rsidRPr="00844A12" w:rsidTr="00496DBA">
        <w:tc>
          <w:tcPr>
            <w:tcW w:w="1337" w:type="dxa"/>
            <w:vAlign w:val="center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4620" w:type="dxa"/>
            <w:vAlign w:val="center"/>
          </w:tcPr>
          <w:p w:rsidR="0021157E" w:rsidRPr="00844A12" w:rsidRDefault="0021157E" w:rsidP="00C640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Serviço de reparo em sistema de controle do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ultrassom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Accuvix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V10 - Samsung</w:t>
            </w:r>
          </w:p>
        </w:tc>
        <w:tc>
          <w:tcPr>
            <w:tcW w:w="88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1.576,67</w:t>
            </w:r>
          </w:p>
        </w:tc>
        <w:tc>
          <w:tcPr>
            <w:tcW w:w="132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1.576,67</w:t>
            </w:r>
          </w:p>
        </w:tc>
      </w:tr>
      <w:tr w:rsidR="00844A12" w:rsidRPr="00844A12" w:rsidTr="00496DBA">
        <w:tc>
          <w:tcPr>
            <w:tcW w:w="1337" w:type="dxa"/>
            <w:vAlign w:val="center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4620" w:type="dxa"/>
            <w:vAlign w:val="center"/>
          </w:tcPr>
          <w:p w:rsidR="0021157E" w:rsidRPr="00844A12" w:rsidRDefault="0021157E" w:rsidP="00C640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Serviço reparo do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storage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do Samsung </w:t>
            </w:r>
            <w:proofErr w:type="spellStart"/>
            <w:r w:rsidRPr="00844A12">
              <w:rPr>
                <w:rFonts w:ascii="Arial" w:hAnsi="Arial" w:cs="Arial"/>
                <w:bCs/>
                <w:color w:val="000000" w:themeColor="text1"/>
              </w:rPr>
              <w:t>Accuvix</w:t>
            </w:r>
            <w:proofErr w:type="spellEnd"/>
            <w:r w:rsidRPr="00844A12">
              <w:rPr>
                <w:rFonts w:ascii="Arial" w:hAnsi="Arial" w:cs="Arial"/>
                <w:bCs/>
                <w:color w:val="000000" w:themeColor="text1"/>
              </w:rPr>
              <w:t xml:space="preserve"> V10 </w:t>
            </w:r>
          </w:p>
        </w:tc>
        <w:tc>
          <w:tcPr>
            <w:tcW w:w="88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1.800,00</w:t>
            </w:r>
          </w:p>
        </w:tc>
        <w:tc>
          <w:tcPr>
            <w:tcW w:w="132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1.800,00</w:t>
            </w:r>
          </w:p>
        </w:tc>
      </w:tr>
      <w:tr w:rsidR="00844A12" w:rsidRPr="00844A12" w:rsidTr="00496DBA">
        <w:tc>
          <w:tcPr>
            <w:tcW w:w="1337" w:type="dxa"/>
            <w:vAlign w:val="center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4620" w:type="dxa"/>
            <w:vAlign w:val="center"/>
          </w:tcPr>
          <w:p w:rsidR="0021157E" w:rsidRPr="00844A12" w:rsidRDefault="0021157E" w:rsidP="00C640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Serviço de instalação, manutenção, limpeza, configuração e controle</w:t>
            </w:r>
          </w:p>
        </w:tc>
        <w:tc>
          <w:tcPr>
            <w:tcW w:w="88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1.666,67</w:t>
            </w:r>
          </w:p>
        </w:tc>
        <w:tc>
          <w:tcPr>
            <w:tcW w:w="132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1.666,67</w:t>
            </w:r>
          </w:p>
        </w:tc>
      </w:tr>
      <w:tr w:rsidR="00844A12" w:rsidRPr="00844A12" w:rsidTr="00496DBA">
        <w:tc>
          <w:tcPr>
            <w:tcW w:w="1337" w:type="dxa"/>
            <w:vAlign w:val="center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05</w:t>
            </w:r>
          </w:p>
        </w:tc>
        <w:tc>
          <w:tcPr>
            <w:tcW w:w="4620" w:type="dxa"/>
            <w:vAlign w:val="center"/>
          </w:tcPr>
          <w:p w:rsidR="0021157E" w:rsidRPr="00844A12" w:rsidRDefault="0021157E" w:rsidP="00C640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Cs/>
                <w:color w:val="000000" w:themeColor="text1"/>
              </w:rPr>
              <w:t>Serviço de recuperação de dados do sistema e backup</w:t>
            </w:r>
          </w:p>
        </w:tc>
        <w:tc>
          <w:tcPr>
            <w:tcW w:w="88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Serv.</w:t>
            </w:r>
          </w:p>
        </w:tc>
        <w:tc>
          <w:tcPr>
            <w:tcW w:w="990" w:type="dxa"/>
            <w:vAlign w:val="center"/>
          </w:tcPr>
          <w:p w:rsidR="0021157E" w:rsidRPr="00844A12" w:rsidRDefault="0021157E" w:rsidP="00C640EF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844A12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  <w:tc>
          <w:tcPr>
            <w:tcW w:w="121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1.473,33</w:t>
            </w:r>
          </w:p>
        </w:tc>
        <w:tc>
          <w:tcPr>
            <w:tcW w:w="132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  <w:r w:rsidRPr="00844A12">
              <w:rPr>
                <w:rFonts w:ascii="Arial" w:hAnsi="Arial" w:cs="Arial"/>
                <w:color w:val="000000" w:themeColor="text1"/>
              </w:rPr>
              <w:t>1.473,33</w:t>
            </w:r>
          </w:p>
        </w:tc>
      </w:tr>
      <w:tr w:rsidR="00844A12" w:rsidRPr="00844A12" w:rsidTr="0021157E">
        <w:trPr>
          <w:cantSplit/>
        </w:trPr>
        <w:tc>
          <w:tcPr>
            <w:tcW w:w="7827" w:type="dxa"/>
            <w:gridSpan w:val="4"/>
          </w:tcPr>
          <w:p w:rsidR="0021157E" w:rsidRPr="00844A12" w:rsidRDefault="0021157E" w:rsidP="00C640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T O T A L</w:t>
            </w:r>
          </w:p>
        </w:tc>
        <w:tc>
          <w:tcPr>
            <w:tcW w:w="1210" w:type="dxa"/>
            <w:vAlign w:val="bottom"/>
          </w:tcPr>
          <w:p w:rsidR="0021157E" w:rsidRPr="00844A12" w:rsidRDefault="0021157E" w:rsidP="00C640EF">
            <w:pPr>
              <w:spacing w:line="360" w:lineRule="auto"/>
              <w:ind w:left="-57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0" w:type="dxa"/>
          </w:tcPr>
          <w:p w:rsidR="0021157E" w:rsidRPr="00844A12" w:rsidRDefault="0021157E" w:rsidP="00C640E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44A12">
              <w:rPr>
                <w:rFonts w:ascii="Arial" w:hAnsi="Arial" w:cs="Arial"/>
                <w:b/>
                <w:bCs/>
                <w:color w:val="000000" w:themeColor="text1"/>
              </w:rPr>
              <w:t>7.856,67</w:t>
            </w:r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BE4081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3794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9721DD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5618/2016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3793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6"/>
    <o:shapelayout v:ext="edit">
      <o:idmap v:ext="edit" data="3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2BFF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4647E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57789"/>
    <w:rsid w:val="00563ED2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73E6"/>
    <w:rsid w:val="00844A1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457C5"/>
    <w:rsid w:val="0095061B"/>
    <w:rsid w:val="00952875"/>
    <w:rsid w:val="009721DD"/>
    <w:rsid w:val="009743DA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4081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0C51-A139-4820-ABC6-20D8A4DA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2016-03-14T19:27:00Z</cp:lastPrinted>
  <dcterms:created xsi:type="dcterms:W3CDTF">2017-03-20T14:57:00Z</dcterms:created>
  <dcterms:modified xsi:type="dcterms:W3CDTF">2017-03-20T14:57:00Z</dcterms:modified>
</cp:coreProperties>
</file>