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F96CE8">
        <w:rPr>
          <w:rFonts w:ascii="Arial" w:hAnsi="Arial" w:cs="Arial"/>
          <w:b/>
          <w:bCs/>
          <w:color w:val="000000" w:themeColor="text1"/>
        </w:rPr>
        <w:t>4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F96CE8">
        <w:rPr>
          <w:rFonts w:ascii="Arial" w:hAnsi="Arial" w:cs="Arial"/>
          <w:color w:val="000000" w:themeColor="text1"/>
        </w:rPr>
        <w:t>6861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F96CE8">
        <w:rPr>
          <w:rFonts w:ascii="Arial" w:hAnsi="Arial" w:cs="Arial"/>
          <w:color w:val="000000" w:themeColor="text1"/>
        </w:rPr>
        <w:t>2016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A26853">
        <w:rPr>
          <w:rFonts w:ascii="Arial" w:hAnsi="Arial"/>
          <w:color w:val="000000" w:themeColor="text1"/>
          <w:sz w:val="24"/>
        </w:rPr>
        <w:t>0</w:t>
      </w:r>
      <w:r w:rsidR="00962F9C">
        <w:rPr>
          <w:rFonts w:ascii="Arial" w:hAnsi="Arial"/>
          <w:color w:val="000000" w:themeColor="text1"/>
          <w:sz w:val="24"/>
        </w:rPr>
        <w:t>6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A26853">
        <w:rPr>
          <w:rFonts w:ascii="Arial" w:hAnsi="Arial"/>
          <w:color w:val="000000" w:themeColor="text1"/>
          <w:sz w:val="24"/>
        </w:rPr>
        <w:t>3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r w:rsidR="006E623E">
        <w:rPr>
          <w:rFonts w:ascii="Arial" w:hAnsi="Arial"/>
          <w:color w:val="000000" w:themeColor="text1"/>
          <w:sz w:val="24"/>
        </w:rPr>
        <w:t>0</w:t>
      </w:r>
      <w:r w:rsidR="00F96CE8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1.2 - A presente</w:t>
      </w:r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6E623E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Aquisição de 1 (um) painel eletrônico de senha, e guichê digital com exibição de mensagens e controles sem fio sequencial, com kit tira senha para parede, de 50 unidades de senha de bobina contendo 2.000 (duas mil) senhas cada unidade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5671BE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</w:t>
      </w:r>
      <w:r w:rsidR="00EA640B">
        <w:rPr>
          <w:rFonts w:ascii="Arial" w:hAnsi="Arial" w:cs="Arial"/>
          <w:color w:val="000000" w:themeColor="text1"/>
        </w:rPr>
        <w:t xml:space="preserve">aquisição do painel eletrônico com as bobinas de senha justifica-se na celeridade e organização que o Departamento de Receita da Prefeitura irá proporcionar aos munícipes que buscam esse departamento, principalmente no início do ano, para emissão das guias de IPTU para pagamento. Com a referida aquisição, o trabalho acontecerá de forma mais ordenada e </w:t>
      </w:r>
      <w:r w:rsidR="000A460D">
        <w:rPr>
          <w:rFonts w:ascii="Arial" w:hAnsi="Arial" w:cs="Arial"/>
          <w:color w:val="000000" w:themeColor="text1"/>
        </w:rPr>
        <w:t>eficaz</w:t>
      </w:r>
      <w:r w:rsidR="0018396F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18396F">
        <w:rPr>
          <w:rFonts w:ascii="Arial" w:hAnsi="Arial" w:cs="Arial"/>
          <w:color w:val="000000" w:themeColor="text1"/>
        </w:rPr>
        <w:t>Fazenda, Planejamento Orçamentário e Desenvolvimento Econômico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18396F">
        <w:rPr>
          <w:rFonts w:ascii="Arial" w:hAnsi="Arial" w:cs="Arial"/>
          <w:color w:val="000000" w:themeColor="text1"/>
        </w:rPr>
        <w:t>008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923B86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Pr="00126917" w:rsidRDefault="008B142D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entrega deverá ser realizada no Almoxarifado Central da Prefeitura Municipal de Rolim de Moura – RO, </w:t>
      </w:r>
      <w:r w:rsidR="00472D5B">
        <w:rPr>
          <w:rFonts w:ascii="Arial" w:hAnsi="Arial" w:cs="Arial"/>
          <w:color w:val="000000" w:themeColor="text1"/>
        </w:rPr>
        <w:t>e a fiscalização da conformidade dos itens ficará a cargo da Comissão de Recebimento de Materiais.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Manter enquanto estiver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>restrita e permanente fiscalização durante toda a entrega dos itens relacionados em anexo, bem como estabelecer parâmetro e diretrizes na execução, aplicando a CONTRATADO(o),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EB7E75">
        <w:rPr>
          <w:rFonts w:ascii="Arial" w:hAnsi="Arial" w:cs="Arial"/>
          <w:color w:val="000000" w:themeColor="text1"/>
        </w:rPr>
        <w:t>os bens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E43798">
        <w:rPr>
          <w:rFonts w:ascii="Arial" w:hAnsi="Arial" w:cs="Arial"/>
          <w:color w:val="000000" w:themeColor="text1"/>
        </w:rPr>
        <w:t>descrit</w:t>
      </w:r>
      <w:r w:rsidR="00EB7E7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EB7E75">
        <w:rPr>
          <w:rFonts w:ascii="Arial" w:hAnsi="Arial" w:cs="Arial"/>
          <w:color w:val="000000" w:themeColor="text1"/>
        </w:rPr>
        <w:t>30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EB7E75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A validade das certidões emitidas pela INTERNET ficam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>.1 - ENVELOPE “PROPOSTA DE PREÇOS”: O envelope “PROPOSTA DE PREÇOS” deverá apresentar-se inviolável e ser entregue até a data e hora indicados,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962F9C">
        <w:rPr>
          <w:rFonts w:ascii="Arial" w:hAnsi="Arial" w:cs="Arial"/>
          <w:color w:val="000000" w:themeColor="text1"/>
        </w:rPr>
        <w:t>02 março</w:t>
      </w:r>
      <w:bookmarkStart w:id="0" w:name="_GoBack"/>
      <w:bookmarkEnd w:id="0"/>
      <w:r w:rsidR="00062DF8" w:rsidRPr="00047B66">
        <w:rPr>
          <w:rFonts w:ascii="Arial" w:hAnsi="Arial" w:cs="Arial"/>
          <w:color w:val="000000" w:themeColor="text1"/>
        </w:rPr>
        <w:t xml:space="preserve">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166760" w:rsidRPr="00047B66">
        <w:rPr>
          <w:rFonts w:ascii="Arial" w:hAnsi="Arial" w:cs="Arial"/>
          <w:color w:val="000000" w:themeColor="text1"/>
        </w:rPr>
        <w:t>112</w:t>
      </w:r>
      <w:r w:rsidRPr="00047B66">
        <w:rPr>
          <w:rFonts w:ascii="Arial" w:hAnsi="Arial" w:cs="Arial"/>
          <w:color w:val="000000" w:themeColor="text1"/>
        </w:rPr>
        <w:t>/201</w:t>
      </w:r>
      <w:r w:rsidR="00166760" w:rsidRPr="00047B66">
        <w:rPr>
          <w:rFonts w:ascii="Arial" w:hAnsi="Arial" w:cs="Arial"/>
          <w:color w:val="000000" w:themeColor="text1"/>
        </w:rPr>
        <w:t>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D446B" w:rsidRDefault="005D44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D446B" w:rsidRDefault="005D44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D446B" w:rsidRDefault="005D44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D446B" w:rsidRPr="00047B66" w:rsidRDefault="005D44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728C2" w:rsidRDefault="00B728C2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694"/>
        <w:gridCol w:w="739"/>
        <w:gridCol w:w="984"/>
        <w:gridCol w:w="984"/>
        <w:gridCol w:w="1143"/>
      </w:tblGrid>
      <w:tr w:rsidR="00062F92" w:rsidRPr="00062F92" w:rsidTr="00062F92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062F92" w:rsidRPr="00062F92" w:rsidTr="00B728C2">
        <w:trPr>
          <w:trHeight w:val="16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92" w:rsidRPr="009F6C7A" w:rsidRDefault="005D446B" w:rsidP="00062F9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F6C7A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1 (um) painel eletrônico de senha, e guichê digital com exibição de mensagens, e controles sem fio sequencial</w:t>
            </w:r>
            <w:r w:rsidR="009F6C7A" w:rsidRPr="009F6C7A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, mais kit tira senha para parede de 50 unidades de senha de bobina, contendo 2000 (duas mil) senhas cada unidade.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9F6C7A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62F92" w:rsidRPr="00062F92" w:rsidTr="00062F92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B728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  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F96CE8" w:rsidRDefault="00F96CE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021"/>
        <w:gridCol w:w="739"/>
        <w:gridCol w:w="984"/>
        <w:gridCol w:w="1400"/>
        <w:gridCol w:w="1400"/>
      </w:tblGrid>
      <w:tr w:rsidR="00B728C2" w:rsidRPr="00062F92" w:rsidTr="00097EC6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B728C2" w:rsidRPr="00062F92" w:rsidTr="00097EC6">
        <w:trPr>
          <w:trHeight w:val="16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8C2" w:rsidRPr="00062F92" w:rsidRDefault="009F6C7A" w:rsidP="00097EC6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9F6C7A"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1 (um) painel eletrônico de senha, e guichê digital com exibição de mensagens, e controles sem fio sequencial, mais kit tira senha para parede de 50 unidades de senha de bobina, contendo 2000 (duas mil) senhas cada unidade.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097EC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9F6C7A" w:rsidP="00097EC6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9F6C7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r w:rsidR="009F6C7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1.567,58</w:t>
            </w: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28C2" w:rsidRPr="00062F92" w:rsidRDefault="00B728C2" w:rsidP="009F6C7A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</w:t>
            </w:r>
            <w:r w:rsidR="009F6C7A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1.567,58</w:t>
            </w: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728C2" w:rsidRPr="00062F92" w:rsidTr="00097EC6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097EC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8C2" w:rsidRPr="00062F92" w:rsidRDefault="00B728C2" w:rsidP="009F6C7A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R$ </w:t>
            </w:r>
            <w:r w:rsidR="009F6C7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1.567,58</w:t>
            </w: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</w:t>
    </w:r>
    <w:r w:rsidR="00BD13CE">
      <w:rPr>
        <w:rFonts w:ascii="Arial" w:hAnsi="Arial" w:cs="Arial"/>
        <w:b/>
        <w:bCs/>
        <w:color w:val="808080"/>
        <w:sz w:val="18"/>
      </w:rPr>
      <w:t>Departamento</w:t>
    </w:r>
    <w:r w:rsidRPr="009B642C">
      <w:rPr>
        <w:rFonts w:ascii="Arial" w:hAnsi="Arial" w:cs="Arial"/>
        <w:b/>
        <w:bCs/>
        <w:color w:val="808080"/>
        <w:sz w:val="18"/>
      </w:rPr>
      <w:t xml:space="preserve">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</w:t>
    </w:r>
    <w:r w:rsidR="004D5480">
      <w:rPr>
        <w:rFonts w:ascii="Arial" w:hAnsi="Arial" w:cs="Arial"/>
        <w:b/>
        <w:bCs/>
        <w:color w:val="808080"/>
        <w:sz w:val="18"/>
      </w:rPr>
      <w:t>ntro – Rolim de Moura – RO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BD13CE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B91629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64514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64513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BD13CE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6861</w:t>
                </w:r>
                <w:r w:rsidR="00EF722B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BD13CE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4516"/>
    <o:shapelayout v:ext="edit">
      <o:idmap v:ext="edit" data="63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60D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51026"/>
    <w:rsid w:val="0015599A"/>
    <w:rsid w:val="0015703B"/>
    <w:rsid w:val="00163C90"/>
    <w:rsid w:val="0016533B"/>
    <w:rsid w:val="00166760"/>
    <w:rsid w:val="00173BCF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72D5B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D5480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D446B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E623E"/>
    <w:rsid w:val="006F12FA"/>
    <w:rsid w:val="006F5D55"/>
    <w:rsid w:val="006F7454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8D2"/>
    <w:rsid w:val="00867B8B"/>
    <w:rsid w:val="0088240F"/>
    <w:rsid w:val="00886E30"/>
    <w:rsid w:val="00893F3D"/>
    <w:rsid w:val="008A0DB7"/>
    <w:rsid w:val="008A31D1"/>
    <w:rsid w:val="008B142D"/>
    <w:rsid w:val="008B3B38"/>
    <w:rsid w:val="008B698D"/>
    <w:rsid w:val="008C359D"/>
    <w:rsid w:val="008C56AD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62F9C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D7DDE"/>
    <w:rsid w:val="009E6F83"/>
    <w:rsid w:val="009F1806"/>
    <w:rsid w:val="009F4851"/>
    <w:rsid w:val="009F53CE"/>
    <w:rsid w:val="009F6684"/>
    <w:rsid w:val="009F6C7A"/>
    <w:rsid w:val="00A0492A"/>
    <w:rsid w:val="00A07430"/>
    <w:rsid w:val="00A07481"/>
    <w:rsid w:val="00A1117D"/>
    <w:rsid w:val="00A12464"/>
    <w:rsid w:val="00A14107"/>
    <w:rsid w:val="00A16903"/>
    <w:rsid w:val="00A25AEE"/>
    <w:rsid w:val="00A26853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1629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13CE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B6DFC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3798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A640B"/>
    <w:rsid w:val="00EB0E6C"/>
    <w:rsid w:val="00EB2A24"/>
    <w:rsid w:val="00EB61D5"/>
    <w:rsid w:val="00EB73B3"/>
    <w:rsid w:val="00EB7E75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96CE8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304E-FEFA-4C8E-92B0-FCB232FB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2017-02-13T18:42:00Z</cp:lastPrinted>
  <dcterms:created xsi:type="dcterms:W3CDTF">2017-03-02T18:34:00Z</dcterms:created>
  <dcterms:modified xsi:type="dcterms:W3CDTF">2017-03-02T18:34:00Z</dcterms:modified>
</cp:coreProperties>
</file>