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4276FC">
        <w:rPr>
          <w:rFonts w:ascii="Arial" w:hAnsi="Arial" w:cs="Arial"/>
          <w:b/>
          <w:bCs/>
          <w:color w:val="000000" w:themeColor="text1"/>
        </w:rPr>
        <w:t>15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1812C9">
        <w:rPr>
          <w:rFonts w:ascii="Arial" w:hAnsi="Arial" w:cs="Arial"/>
          <w:color w:val="000000" w:themeColor="text1"/>
        </w:rPr>
        <w:t>1406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D93BAB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  <w:highlight w:val="yellow"/>
        </w:rPr>
      </w:pPr>
      <w:r w:rsidRPr="00D93BAB">
        <w:rPr>
          <w:rFonts w:ascii="Arial" w:hAnsi="Arial"/>
          <w:color w:val="000000" w:themeColor="text1"/>
          <w:sz w:val="24"/>
          <w:highlight w:val="yellow"/>
        </w:rPr>
        <w:t xml:space="preserve">Data limite para entrega da proposta: dia </w:t>
      </w:r>
      <w:r w:rsidR="004276FC">
        <w:rPr>
          <w:rFonts w:ascii="Arial" w:hAnsi="Arial"/>
          <w:color w:val="000000" w:themeColor="text1"/>
          <w:sz w:val="24"/>
          <w:highlight w:val="yellow"/>
        </w:rPr>
        <w:t>10</w:t>
      </w:r>
      <w:r w:rsidR="008E01B1" w:rsidRPr="00D93BAB">
        <w:rPr>
          <w:rFonts w:ascii="Arial" w:hAnsi="Arial"/>
          <w:color w:val="000000" w:themeColor="text1"/>
          <w:sz w:val="24"/>
          <w:highlight w:val="yellow"/>
        </w:rPr>
        <w:t>/</w:t>
      </w:r>
      <w:r w:rsidR="004276FC">
        <w:rPr>
          <w:rFonts w:ascii="Arial" w:hAnsi="Arial"/>
          <w:color w:val="000000" w:themeColor="text1"/>
          <w:sz w:val="24"/>
          <w:highlight w:val="yellow"/>
        </w:rPr>
        <w:t>04</w:t>
      </w:r>
      <w:r w:rsidR="007D4F59" w:rsidRPr="00D93BAB">
        <w:rPr>
          <w:rFonts w:ascii="Arial" w:hAnsi="Arial"/>
          <w:color w:val="000000" w:themeColor="text1"/>
          <w:sz w:val="24"/>
          <w:highlight w:val="yellow"/>
        </w:rPr>
        <w:t>/</w:t>
      </w:r>
      <w:r w:rsidR="009A3A4C" w:rsidRPr="00D93BAB">
        <w:rPr>
          <w:rFonts w:ascii="Arial" w:hAnsi="Arial"/>
          <w:color w:val="000000" w:themeColor="text1"/>
          <w:sz w:val="24"/>
          <w:highlight w:val="yellow"/>
        </w:rPr>
        <w:t>201</w:t>
      </w:r>
      <w:r w:rsidR="000312BA" w:rsidRPr="00D93BAB">
        <w:rPr>
          <w:rFonts w:ascii="Arial" w:hAnsi="Arial"/>
          <w:color w:val="000000" w:themeColor="text1"/>
          <w:sz w:val="24"/>
          <w:highlight w:val="yellow"/>
        </w:rPr>
        <w:t>7</w:t>
      </w:r>
      <w:r w:rsidRPr="00D93BAB">
        <w:rPr>
          <w:rFonts w:ascii="Arial" w:hAnsi="Arial"/>
          <w:color w:val="000000" w:themeColor="text1"/>
          <w:sz w:val="24"/>
          <w:highlight w:val="yellow"/>
        </w:rPr>
        <w:t xml:space="preserve"> às </w:t>
      </w:r>
      <w:proofErr w:type="gramStart"/>
      <w:r w:rsidR="009D00CD" w:rsidRPr="00D93BAB">
        <w:rPr>
          <w:rFonts w:ascii="Arial" w:hAnsi="Arial"/>
          <w:color w:val="000000" w:themeColor="text1"/>
          <w:sz w:val="24"/>
          <w:highlight w:val="yellow"/>
        </w:rPr>
        <w:t>0</w:t>
      </w:r>
      <w:r w:rsidR="000C3110" w:rsidRPr="00D93BAB">
        <w:rPr>
          <w:rFonts w:ascii="Arial" w:hAnsi="Arial"/>
          <w:color w:val="000000" w:themeColor="text1"/>
          <w:sz w:val="24"/>
          <w:highlight w:val="yellow"/>
        </w:rPr>
        <w:t>9</w:t>
      </w:r>
      <w:r w:rsidR="008E01B1" w:rsidRPr="00D93BAB">
        <w:rPr>
          <w:rFonts w:ascii="Arial" w:hAnsi="Arial"/>
          <w:color w:val="000000" w:themeColor="text1"/>
          <w:sz w:val="24"/>
          <w:highlight w:val="yellow"/>
        </w:rPr>
        <w:t>:</w:t>
      </w:r>
      <w:r w:rsidR="004E6DC0" w:rsidRPr="00D93BAB">
        <w:rPr>
          <w:rFonts w:ascii="Arial" w:hAnsi="Arial"/>
          <w:color w:val="000000" w:themeColor="text1"/>
          <w:sz w:val="24"/>
          <w:highlight w:val="yellow"/>
        </w:rPr>
        <w:t>0</w:t>
      </w:r>
      <w:r w:rsidRPr="00D93BAB">
        <w:rPr>
          <w:rFonts w:ascii="Arial" w:hAnsi="Arial"/>
          <w:color w:val="000000" w:themeColor="text1"/>
          <w:sz w:val="24"/>
          <w:highlight w:val="yellow"/>
        </w:rPr>
        <w:t>0</w:t>
      </w:r>
      <w:proofErr w:type="gramEnd"/>
      <w:r w:rsidR="008E01B1" w:rsidRPr="00D93BAB">
        <w:rPr>
          <w:rFonts w:ascii="Arial" w:hAnsi="Arial"/>
          <w:color w:val="000000" w:themeColor="text1"/>
          <w:sz w:val="24"/>
          <w:highlight w:val="yellow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1812C9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Aquisição de galão par armazenamento de agua mineral (garrafão vazio), para atender as necessidades d</w:t>
      </w:r>
      <w:r w:rsidR="00265CFC">
        <w:rPr>
          <w:rFonts w:ascii="Arial" w:hAnsi="Arial" w:cs="Arial"/>
          <w:color w:val="000000" w:themeColor="text1"/>
        </w:rPr>
        <w:t>asSecretarias Municipais</w:t>
      </w:r>
      <w:r>
        <w:rPr>
          <w:rFonts w:ascii="Arial" w:hAnsi="Arial" w:cs="Arial"/>
          <w:color w:val="000000" w:themeColor="text1"/>
        </w:rPr>
        <w:t xml:space="preserve">. </w:t>
      </w:r>
    </w:p>
    <w:p w:rsidR="00265CFC" w:rsidRDefault="00265CFC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265CFC" w:rsidRPr="00047B66" w:rsidRDefault="00265CFC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BF34EB" w:rsidRDefault="000B4980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Secretaria Municipal de Saúde - </w:t>
      </w:r>
      <w:r w:rsidR="00BF34EB">
        <w:rPr>
          <w:rFonts w:ascii="Arial" w:hAnsi="Arial" w:cs="Arial"/>
          <w:color w:val="000000" w:themeColor="text1"/>
        </w:rPr>
        <w:t>Tem este o objetivo a aquisição de Galão para armazenamento de água mineral (garrafão vazio), para atender a demanda da Superintendência Geral de Saúde</w:t>
      </w:r>
      <w:r w:rsidR="00D96DE0">
        <w:rPr>
          <w:rFonts w:ascii="Arial" w:hAnsi="Arial" w:cs="Arial"/>
          <w:color w:val="000000" w:themeColor="text1"/>
        </w:rPr>
        <w:t>.</w:t>
      </w:r>
      <w:r w:rsidR="00BF34EB">
        <w:rPr>
          <w:rFonts w:ascii="Arial" w:hAnsi="Arial" w:cs="Arial"/>
          <w:color w:val="000000" w:themeColor="text1"/>
        </w:rPr>
        <w:t xml:space="preserve"> Considerando-se que no Registro de Preço atual de água mineral, não foi previsto o fornecimento do garrafão vazio, sendo assim, justifica-se tal aquisição. Diariamente é consumida água mineral, tanto os servidores quanto os usuários </w:t>
      </w:r>
      <w:r>
        <w:rPr>
          <w:rFonts w:ascii="Arial" w:hAnsi="Arial" w:cs="Arial"/>
          <w:color w:val="000000" w:themeColor="text1"/>
        </w:rPr>
        <w:t>do Sistema Único de Saúde – SUS;</w:t>
      </w:r>
    </w:p>
    <w:p w:rsidR="000B4980" w:rsidRDefault="000B4980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</w:p>
    <w:p w:rsidR="000B4980" w:rsidRDefault="000B4980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Secretaria Municipal de Administração – </w:t>
      </w:r>
      <w:r>
        <w:rPr>
          <w:rFonts w:ascii="Arial" w:hAnsi="Arial" w:cs="Arial"/>
          <w:color w:val="000000" w:themeColor="text1"/>
        </w:rPr>
        <w:t>É de fundamental importância o referido contrato, tendo em vista que a Secretaria Municipal de Administração atende os setores de CPL, RECURSOS HUMANOS, ALMOXARIFADO, PATRIMÔNIO, PROTOCOLO/RECEPÇÃO, COZINHA/SERVIÇOS GERAIS, CPL. Sendo assim faz=se necessário, considerando-se que no Registro de Preço atual de água mineral, não foi previsto o fornecimento do garrafão vazio, e sendo assim justifica-se tal aquisição;</w:t>
      </w:r>
    </w:p>
    <w:p w:rsidR="000B4980" w:rsidRDefault="000B4980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</w:p>
    <w:p w:rsidR="000B4980" w:rsidRDefault="000B4980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Secretaria Municipal de Fazenda – </w:t>
      </w:r>
      <w:r>
        <w:rPr>
          <w:rFonts w:ascii="Arial" w:hAnsi="Arial" w:cs="Arial"/>
          <w:color w:val="000000" w:themeColor="text1"/>
        </w:rPr>
        <w:t>É de fundamental importância o referido contrato, tendo em vista que a Secretaria Municipal de Fazenda atende os setores de RECEITA, CADASTRO, CRF, CONTABILIDADE, FISCALIZAÇÃO, ORÇAMENTO. Sendo assim faz-se necessário, considerando0se que no Registro de Preços atual de água mineral, não foi previsto o fornecimento do garrafão vazio, e sendo assim justifica-se tal aquisição;</w:t>
      </w:r>
    </w:p>
    <w:p w:rsidR="000B4980" w:rsidRDefault="000B4980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</w:p>
    <w:p w:rsidR="000B4980" w:rsidRDefault="000B4980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Secretaria Municipal de Governo e Cidadania – </w:t>
      </w:r>
      <w:r>
        <w:rPr>
          <w:rFonts w:ascii="Arial" w:hAnsi="Arial" w:cs="Arial"/>
          <w:color w:val="000000" w:themeColor="text1"/>
        </w:rPr>
        <w:t>É de fundamental importância o referido contrato, tendo em vista que a Secretaria Municipal de Governo e Cidadania atende os setores de CONTROLADORIA, AUDITORIA, ASSESSORIA SUPERIOR, PROCURADORIA GERAL DO MUNICIPIO. Sando assim faz-se necessário, considerando-se que no Registro de Prelos atual de agua mineral, não foi previsto o fornecimento do garrafão vazio, e sendo a</w:t>
      </w:r>
      <w:r w:rsidR="00E5077E">
        <w:rPr>
          <w:rFonts w:ascii="Arial" w:hAnsi="Arial" w:cs="Arial"/>
          <w:color w:val="000000" w:themeColor="text1"/>
        </w:rPr>
        <w:t>ssim justifica-se tal aquisição;</w:t>
      </w:r>
    </w:p>
    <w:p w:rsidR="00594168" w:rsidRDefault="00594168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</w:p>
    <w:p w:rsidR="00594168" w:rsidRPr="00594168" w:rsidRDefault="00594168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Secretaria Municipal de Educação – </w:t>
      </w:r>
      <w:r>
        <w:rPr>
          <w:rFonts w:ascii="Arial" w:hAnsi="Arial" w:cs="Arial"/>
          <w:color w:val="000000" w:themeColor="text1"/>
        </w:rPr>
        <w:t>Diversas pesquisas dissertam sobre a importância do consumo de agua pelos seres humanos, mesmo que embora ainda não exista consenso sobre a quantidade ideal a ser ingerida diariamente, contudo, em um ponto, todos convergem para a mesma sentença, o corpo humano precisa da ingestão de agua para mantes seu funcionamento, e que a privação pode acarretar para o individuo, graves problemas fisiológicos. No mesmo sentido, ao considerarmos que o Município de Rolim de Moura, esta localizado em região de clima tropical úmido, o que corrobora com a sensação térmica elevada e faz com que a população tenha uma perca acentuada de líquidos através da sudorese, é imprescindível oferecer condições adequadas para a reidratação, obedecendo aos aspectos quantitativos e qualitativos conforme os padrões sanitários determinados pela legislação vigente. Para tanto, a SEMEC propõe a aquisição de vasilhame do tipo galão de água mineral, a fim de distribuir entre os órgãos que utilizam este tipo de bebedouro;</w:t>
      </w:r>
    </w:p>
    <w:p w:rsidR="007A088D" w:rsidRPr="00047B66" w:rsidRDefault="00BF34EB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Default="00EE28C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despesas correrão com recursos de acordo com a Secretaria Municipal de </w:t>
      </w:r>
      <w:r w:rsidR="00BF34EB">
        <w:rPr>
          <w:rFonts w:ascii="Arial" w:hAnsi="Arial" w:cs="Arial"/>
          <w:color w:val="000000" w:themeColor="text1"/>
        </w:rPr>
        <w:t>Saúde</w:t>
      </w:r>
      <w:r>
        <w:rPr>
          <w:rFonts w:ascii="Arial" w:hAnsi="Arial" w:cs="Arial"/>
          <w:color w:val="000000" w:themeColor="text1"/>
        </w:rPr>
        <w:t>, Projet</w:t>
      </w:r>
      <w:r w:rsidR="00FA19C4">
        <w:rPr>
          <w:rFonts w:ascii="Arial" w:hAnsi="Arial" w:cs="Arial"/>
          <w:color w:val="000000" w:themeColor="text1"/>
        </w:rPr>
        <w:t xml:space="preserve">o Atividade </w:t>
      </w:r>
      <w:r w:rsidR="00BF34EB">
        <w:rPr>
          <w:rFonts w:ascii="Arial" w:hAnsi="Arial" w:cs="Arial"/>
          <w:color w:val="000000" w:themeColor="text1"/>
        </w:rPr>
        <w:t>1.145 e 2.141</w:t>
      </w:r>
      <w:r w:rsidR="00FA19C4">
        <w:rPr>
          <w:rFonts w:ascii="Arial" w:hAnsi="Arial" w:cs="Arial"/>
          <w:color w:val="000000" w:themeColor="text1"/>
        </w:rPr>
        <w:t>. Elemen</w:t>
      </w:r>
      <w:r w:rsidR="00BD7643">
        <w:rPr>
          <w:rFonts w:ascii="Arial" w:hAnsi="Arial" w:cs="Arial"/>
          <w:color w:val="000000" w:themeColor="text1"/>
        </w:rPr>
        <w:t>to de despesa 33.90.30;</w:t>
      </w:r>
    </w:p>
    <w:p w:rsidR="00BD7643" w:rsidRDefault="00BD7643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Secretaria Municipal de Administração, Projeto de </w:t>
      </w:r>
      <w:proofErr w:type="gramStart"/>
      <w:r>
        <w:rPr>
          <w:rFonts w:ascii="Arial" w:hAnsi="Arial" w:cs="Arial"/>
          <w:color w:val="000000" w:themeColor="text1"/>
        </w:rPr>
        <w:t>Atividade2.</w:t>
      </w:r>
      <w:proofErr w:type="gramEnd"/>
      <w:r>
        <w:rPr>
          <w:rFonts w:ascii="Arial" w:hAnsi="Arial" w:cs="Arial"/>
          <w:color w:val="000000" w:themeColor="text1"/>
        </w:rPr>
        <w:t>007, Elemento de Despesas 33.90.30;</w:t>
      </w:r>
    </w:p>
    <w:p w:rsidR="00BD7643" w:rsidRDefault="00BD7643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Secretaria Municipal de Fazenda</w:t>
      </w:r>
      <w:proofErr w:type="gramStart"/>
      <w:r>
        <w:rPr>
          <w:rFonts w:ascii="Arial" w:hAnsi="Arial" w:cs="Arial"/>
          <w:color w:val="000000" w:themeColor="text1"/>
        </w:rPr>
        <w:t>, Projeto</w:t>
      </w:r>
      <w:proofErr w:type="gramEnd"/>
      <w:r>
        <w:rPr>
          <w:rFonts w:ascii="Arial" w:hAnsi="Arial" w:cs="Arial"/>
          <w:color w:val="000000" w:themeColor="text1"/>
        </w:rPr>
        <w:t xml:space="preserve"> de Atividade 2.013, Elemento de Despesas 33.90.30;</w:t>
      </w:r>
    </w:p>
    <w:p w:rsidR="00BD7643" w:rsidRDefault="00BD7643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Secretaria Municipal de Gabinete e Cidadania</w:t>
      </w:r>
      <w:proofErr w:type="gramStart"/>
      <w:r>
        <w:rPr>
          <w:rFonts w:ascii="Arial" w:hAnsi="Arial" w:cs="Arial"/>
          <w:color w:val="000000" w:themeColor="text1"/>
        </w:rPr>
        <w:t>, Projeto</w:t>
      </w:r>
      <w:proofErr w:type="gramEnd"/>
      <w:r>
        <w:rPr>
          <w:rFonts w:ascii="Arial" w:hAnsi="Arial" w:cs="Arial"/>
          <w:color w:val="000000" w:themeColor="text1"/>
        </w:rPr>
        <w:t xml:space="preserve"> de Atividade 2.016, Elemento de Despesa 33.90.30;</w:t>
      </w:r>
    </w:p>
    <w:p w:rsidR="00BD7643" w:rsidRDefault="00BD7643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Secretaria Municipal de Educação</w:t>
      </w:r>
      <w:proofErr w:type="gramStart"/>
      <w:r>
        <w:rPr>
          <w:rFonts w:ascii="Arial" w:hAnsi="Arial" w:cs="Arial"/>
          <w:color w:val="000000" w:themeColor="text1"/>
        </w:rPr>
        <w:t>, Projeto</w:t>
      </w:r>
      <w:proofErr w:type="gramEnd"/>
      <w:r>
        <w:rPr>
          <w:rFonts w:ascii="Arial" w:hAnsi="Arial" w:cs="Arial"/>
          <w:color w:val="000000" w:themeColor="text1"/>
        </w:rPr>
        <w:t xml:space="preserve"> de Atividade 2.011, Elemento de Despesas 33.90.30;</w:t>
      </w:r>
      <w:bookmarkStart w:id="0" w:name="_GoBack"/>
      <w:bookmarkEnd w:id="0"/>
    </w:p>
    <w:p w:rsidR="00BD7643" w:rsidRPr="00047B66" w:rsidRDefault="00BD7643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pagamento será realizado mediante liquidação de despesa ou serviços em até </w:t>
      </w:r>
      <w:r w:rsidR="004B38ED">
        <w:rPr>
          <w:rFonts w:ascii="Arial" w:hAnsi="Arial" w:cs="Arial"/>
          <w:color w:val="000000" w:themeColor="text1"/>
        </w:rPr>
        <w:t>3</w:t>
      </w:r>
      <w:r w:rsidRPr="00047B66">
        <w:rPr>
          <w:rFonts w:ascii="Arial" w:hAnsi="Arial" w:cs="Arial"/>
          <w:color w:val="000000" w:themeColor="text1"/>
        </w:rPr>
        <w:t>0 (</w:t>
      </w:r>
      <w:r w:rsidR="004B38ED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>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Default="00142DCC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Após a assinatura do Contrato e a entrega da Nota de Empenho, o fornecedor terá o prazo de até 1</w:t>
      </w:r>
      <w:r w:rsidR="004276FC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(</w:t>
      </w:r>
      <w:r w:rsidR="004276FC">
        <w:rPr>
          <w:rFonts w:ascii="Arial" w:hAnsi="Arial" w:cs="Arial"/>
          <w:color w:val="000000" w:themeColor="text1"/>
        </w:rPr>
        <w:t>quinze</w:t>
      </w:r>
      <w:r>
        <w:rPr>
          <w:rFonts w:ascii="Arial" w:hAnsi="Arial" w:cs="Arial"/>
          <w:color w:val="000000" w:themeColor="text1"/>
        </w:rPr>
        <w:t xml:space="preserve">) dias úteis para realizar a entrega, não ocorrendo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entrega, </w:t>
      </w:r>
      <w:r>
        <w:rPr>
          <w:rFonts w:ascii="Arial" w:hAnsi="Arial" w:cs="Arial"/>
          <w:color w:val="000000" w:themeColor="text1"/>
        </w:rPr>
        <w:lastRenderedPageBreak/>
        <w:t>o fornecedor estará sujeito às penalidades previstas na Lei nº 8.666/93 e suas alterações.</w:t>
      </w:r>
    </w:p>
    <w:p w:rsidR="00142DCC" w:rsidRDefault="00BD009B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Fica a Comissão de Recebimento de Materiais, responsável pelo recebimento e a fiscalização dos mesmos. A equipe será responsável pela anotação de todas as ocorrências e deficiências, entre outras anotações que julgar necessárias, em relatório, que deverá ser emitido </w:t>
      </w:r>
      <w:r w:rsidR="005577BF">
        <w:rPr>
          <w:rFonts w:ascii="Arial" w:hAnsi="Arial" w:cs="Arial"/>
          <w:color w:val="000000" w:themeColor="text1"/>
        </w:rPr>
        <w:t xml:space="preserve">em duas vias. Uma via deverá ser arquivada na Secretaria </w:t>
      </w:r>
      <w:r w:rsidR="00623E21">
        <w:rPr>
          <w:rFonts w:ascii="Arial" w:hAnsi="Arial" w:cs="Arial"/>
          <w:color w:val="000000" w:themeColor="text1"/>
        </w:rPr>
        <w:t>de origem do pedido</w:t>
      </w:r>
      <w:r w:rsidR="005577BF">
        <w:rPr>
          <w:rFonts w:ascii="Arial" w:hAnsi="Arial" w:cs="Arial"/>
          <w:color w:val="000000" w:themeColor="text1"/>
        </w:rPr>
        <w:t xml:space="preserve"> para acompanhamento, e a outra via deverá ser entregue à contratada, objetivando a imediata correção das irregularidades</w:t>
      </w:r>
      <w:r w:rsidR="00A46789">
        <w:rPr>
          <w:rFonts w:ascii="Arial" w:hAnsi="Arial" w:cs="Arial"/>
          <w:color w:val="000000" w:themeColor="text1"/>
        </w:rPr>
        <w:t xml:space="preserve"> apontadas, quando o caso exigir</w:t>
      </w:r>
      <w:r w:rsidR="002D07C7">
        <w:rPr>
          <w:rFonts w:ascii="Arial" w:hAnsi="Arial" w:cs="Arial"/>
          <w:color w:val="000000" w:themeColor="text1"/>
        </w:rPr>
        <w:t>.</w:t>
      </w:r>
    </w:p>
    <w:p w:rsidR="002D07C7" w:rsidRPr="00126917" w:rsidRDefault="002D07C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exigências da fiscalização e a atuação da Comissão de Recebimento de Materiais da Prefeitura Municipal de Rolim de Moura em qualquer etapa da execução do Contrato, em nada restringem a responsabilidade única, integral e exclusiva da contratada, no que concerne o atendimento ao Contrato.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6E7AC5">
        <w:rPr>
          <w:rFonts w:ascii="Arial" w:hAnsi="Arial" w:cs="Arial"/>
          <w:color w:val="000000" w:themeColor="text1"/>
        </w:rPr>
        <w:t>os itens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4B38ED">
        <w:rPr>
          <w:rFonts w:ascii="Arial" w:hAnsi="Arial" w:cs="Arial"/>
          <w:color w:val="000000" w:themeColor="text1"/>
        </w:rPr>
        <w:t>6</w:t>
      </w:r>
      <w:r w:rsidR="00E43798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4B38ED">
        <w:rPr>
          <w:rFonts w:ascii="Arial" w:hAnsi="Arial" w:cs="Arial"/>
          <w:color w:val="000000" w:themeColor="text1"/>
        </w:rPr>
        <w:t>sessenta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4276FC">
        <w:rPr>
          <w:rFonts w:ascii="Arial" w:hAnsi="Arial" w:cs="Arial"/>
          <w:b/>
          <w:color w:val="000000" w:themeColor="text1"/>
        </w:rPr>
        <w:t>15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402C36">
        <w:rPr>
          <w:rFonts w:ascii="Arial" w:hAnsi="Arial" w:cs="Arial"/>
          <w:color w:val="000000" w:themeColor="text1"/>
        </w:rPr>
        <w:t>0</w:t>
      </w:r>
      <w:r w:rsidR="004276FC">
        <w:rPr>
          <w:rFonts w:ascii="Arial" w:hAnsi="Arial" w:cs="Arial"/>
          <w:color w:val="000000" w:themeColor="text1"/>
        </w:rPr>
        <w:t>6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402C36">
        <w:rPr>
          <w:rFonts w:ascii="Arial" w:hAnsi="Arial" w:cs="Arial"/>
          <w:color w:val="000000" w:themeColor="text1"/>
        </w:rPr>
        <w:t>abril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615D5F" w:rsidRPr="00047B66" w:rsidRDefault="00FD7D67" w:rsidP="00FD7D67">
      <w:pPr>
        <w:contextualSpacing/>
        <w:jc w:val="center"/>
        <w:rPr>
          <w:rFonts w:ascii="Arial" w:hAnsi="Arial" w:cs="Arial"/>
          <w:i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Portaria nº 112/2016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10285" w:type="dxa"/>
        <w:tblInd w:w="-894" w:type="dxa"/>
        <w:tblCellMar>
          <w:left w:w="70" w:type="dxa"/>
          <w:right w:w="70" w:type="dxa"/>
        </w:tblCellMar>
        <w:tblLook w:val="04A0"/>
      </w:tblPr>
      <w:tblGrid>
        <w:gridCol w:w="714"/>
        <w:gridCol w:w="4042"/>
        <w:gridCol w:w="1276"/>
        <w:gridCol w:w="1559"/>
        <w:gridCol w:w="1418"/>
        <w:gridCol w:w="1276"/>
      </w:tblGrid>
      <w:tr w:rsidR="00BB054C" w:rsidRPr="00BB054C" w:rsidTr="00223F6F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223F6F" w:rsidRPr="00BB054C" w:rsidTr="00223F6F">
        <w:trPr>
          <w:trHeight w:val="8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Century Gothic" w:hAnsi="Century Gothic" w:cs="Times New Roman"/>
                <w:color w:val="000000"/>
                <w:lang w:eastAsia="pt-BR"/>
              </w:rPr>
            </w:pPr>
            <w:proofErr w:type="gramStart"/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54C" w:rsidRPr="00BB054C" w:rsidRDefault="00BB054C" w:rsidP="00BB054C">
            <w:pPr>
              <w:suppressAutoHyphens w:val="0"/>
              <w:rPr>
                <w:rFonts w:ascii="Century Gothic" w:hAnsi="Century Gothic" w:cs="Times New Roman"/>
                <w:color w:val="000000"/>
                <w:lang w:eastAsia="pt-BR"/>
              </w:rPr>
            </w:pPr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 xml:space="preserve">Galão para armazenamento de água mineral, capacidade de 20 </w:t>
            </w:r>
            <w:proofErr w:type="spellStart"/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liros</w:t>
            </w:r>
            <w:proofErr w:type="spellEnd"/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. (garrafão vazio).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Century Gothic" w:hAnsi="Century Gothic" w:cs="Times New Roman"/>
                <w:color w:val="000000"/>
                <w:lang w:eastAsia="pt-BR"/>
              </w:rPr>
            </w:pPr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UNID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4C" w:rsidRPr="00BB054C" w:rsidRDefault="00712E5F" w:rsidP="00BB054C">
            <w:pPr>
              <w:suppressAutoHyphens w:val="0"/>
              <w:jc w:val="center"/>
              <w:rPr>
                <w:rFonts w:ascii="Century Gothic" w:hAnsi="Century Gothic" w:cs="Times New Roman"/>
                <w:color w:val="000000"/>
                <w:lang w:eastAsia="pt-BR"/>
              </w:rPr>
            </w:pPr>
            <w:r>
              <w:rPr>
                <w:rFonts w:ascii="Century Gothic" w:hAnsi="Century Gothic" w:cs="Times New Roman"/>
                <w:color w:val="000000"/>
                <w:lang w:eastAsia="pt-BR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Century Gothic" w:hAnsi="Century Gothic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Century Gothic" w:hAnsi="Century Gothic" w:cs="Times New Roman"/>
                <w:color w:val="000000"/>
                <w:lang w:eastAsia="pt-BR"/>
              </w:rPr>
            </w:pPr>
          </w:p>
        </w:tc>
      </w:tr>
      <w:tr w:rsidR="00BB054C" w:rsidRPr="00BB054C" w:rsidTr="00223F6F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4C" w:rsidRPr="00BB054C" w:rsidRDefault="00BB054C" w:rsidP="00BB054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4C" w:rsidRPr="00BB054C" w:rsidRDefault="00BB054C" w:rsidP="00BB054C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4C" w:rsidRPr="00BB054C" w:rsidRDefault="00BB054C" w:rsidP="00BB054C">
            <w:pPr>
              <w:suppressAutoHyphens w:val="0"/>
              <w:rPr>
                <w:rFonts w:ascii="Century Gothic" w:hAnsi="Century Gothic" w:cs="Times New Roman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4C" w:rsidRPr="00BB054C" w:rsidRDefault="00BB054C" w:rsidP="00BB054C">
            <w:pPr>
              <w:suppressAutoHyphens w:val="0"/>
              <w:rPr>
                <w:rFonts w:ascii="Century Gothic" w:hAnsi="Century Gothic" w:cs="Times New Roman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Century Gothic" w:hAnsi="Century Gothic" w:cs="Times New Roman"/>
                <w:b/>
                <w:bCs/>
                <w:color w:val="000000"/>
                <w:lang w:eastAsia="pt-BR"/>
              </w:rPr>
            </w:pPr>
            <w:r w:rsidRPr="00BB054C">
              <w:rPr>
                <w:rFonts w:ascii="Century Gothic" w:hAnsi="Century Gothic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Century Gothic" w:hAnsi="Century Gothic" w:cs="Times New Roman"/>
                <w:b/>
                <w:bCs/>
                <w:color w:val="000000"/>
                <w:lang w:eastAsia="pt-BR"/>
              </w:rPr>
            </w:pPr>
          </w:p>
        </w:tc>
      </w:tr>
    </w:tbl>
    <w:p w:rsidR="005524AA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B054C" w:rsidRDefault="00BB05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B054C" w:rsidRDefault="00BB05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10215" w:type="dxa"/>
        <w:tblInd w:w="-789" w:type="dxa"/>
        <w:tblCellMar>
          <w:left w:w="70" w:type="dxa"/>
          <w:right w:w="70" w:type="dxa"/>
        </w:tblCellMar>
        <w:tblLook w:val="04A0"/>
      </w:tblPr>
      <w:tblGrid>
        <w:gridCol w:w="714"/>
        <w:gridCol w:w="4267"/>
        <w:gridCol w:w="1276"/>
        <w:gridCol w:w="1276"/>
        <w:gridCol w:w="1134"/>
        <w:gridCol w:w="1548"/>
      </w:tblGrid>
      <w:tr w:rsidR="00BB054C" w:rsidRPr="00BB054C" w:rsidTr="00047AC5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B054C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BB054C" w:rsidRPr="00BB054C" w:rsidTr="00047AC5">
        <w:trPr>
          <w:trHeight w:val="8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Century Gothic" w:hAnsi="Century Gothic" w:cs="Times New Roman"/>
                <w:color w:val="000000"/>
                <w:lang w:eastAsia="pt-BR"/>
              </w:rPr>
            </w:pPr>
            <w:proofErr w:type="gramStart"/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54C" w:rsidRPr="00BB054C" w:rsidRDefault="00BB054C" w:rsidP="00BB054C">
            <w:pPr>
              <w:suppressAutoHyphens w:val="0"/>
              <w:rPr>
                <w:rFonts w:ascii="Century Gothic" w:hAnsi="Century Gothic" w:cs="Times New Roman"/>
                <w:color w:val="000000"/>
                <w:lang w:eastAsia="pt-BR"/>
              </w:rPr>
            </w:pPr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 xml:space="preserve">Galão para armazenamento de água mineral, capacidade de 20 </w:t>
            </w:r>
            <w:proofErr w:type="spellStart"/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liros</w:t>
            </w:r>
            <w:proofErr w:type="spellEnd"/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. (garrafão vazio).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Century Gothic" w:hAnsi="Century Gothic" w:cs="Times New Roman"/>
                <w:color w:val="000000"/>
                <w:lang w:eastAsia="pt-BR"/>
              </w:rPr>
            </w:pPr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UNID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4C" w:rsidRPr="00BB054C" w:rsidRDefault="00712E5F" w:rsidP="00BB054C">
            <w:pPr>
              <w:suppressAutoHyphens w:val="0"/>
              <w:jc w:val="center"/>
              <w:rPr>
                <w:rFonts w:ascii="Century Gothic" w:hAnsi="Century Gothic" w:cs="Times New Roman"/>
                <w:color w:val="000000"/>
                <w:lang w:eastAsia="pt-BR"/>
              </w:rPr>
            </w:pPr>
            <w:r>
              <w:rPr>
                <w:rFonts w:ascii="Century Gothic" w:hAnsi="Century Gothic" w:cs="Times New Roman"/>
                <w:color w:val="000000"/>
                <w:lang w:eastAsia="pt-B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Century Gothic" w:hAnsi="Century Gothic" w:cs="Times New Roman"/>
                <w:color w:val="000000"/>
                <w:lang w:eastAsia="pt-BR"/>
              </w:rPr>
            </w:pPr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R$ 20,30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4C" w:rsidRPr="00BB054C" w:rsidRDefault="00BB054C" w:rsidP="00712E5F">
            <w:pPr>
              <w:suppressAutoHyphens w:val="0"/>
              <w:jc w:val="center"/>
              <w:rPr>
                <w:rFonts w:ascii="Century Gothic" w:hAnsi="Century Gothic" w:cs="Times New Roman"/>
                <w:color w:val="000000"/>
                <w:lang w:eastAsia="pt-BR"/>
              </w:rPr>
            </w:pPr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 xml:space="preserve">R$ </w:t>
            </w:r>
            <w:r w:rsidR="00712E5F">
              <w:rPr>
                <w:rFonts w:ascii="Century Gothic" w:hAnsi="Century Gothic" w:cs="Times New Roman"/>
                <w:color w:val="000000"/>
                <w:lang w:eastAsia="pt-BR"/>
              </w:rPr>
              <w:t>7</w:t>
            </w:r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.</w:t>
            </w:r>
            <w:r w:rsidR="00712E5F">
              <w:rPr>
                <w:rFonts w:ascii="Century Gothic" w:hAnsi="Century Gothic" w:cs="Times New Roman"/>
                <w:color w:val="000000"/>
                <w:lang w:eastAsia="pt-BR"/>
              </w:rPr>
              <w:t>105</w:t>
            </w:r>
            <w:r w:rsidRPr="00BB054C">
              <w:rPr>
                <w:rFonts w:ascii="Century Gothic" w:hAnsi="Century Gothic" w:cs="Times New Roman"/>
                <w:color w:val="000000"/>
                <w:lang w:eastAsia="pt-BR"/>
              </w:rPr>
              <w:t>,00</w:t>
            </w:r>
          </w:p>
        </w:tc>
      </w:tr>
      <w:tr w:rsidR="00BB054C" w:rsidRPr="00BB054C" w:rsidTr="00047AC5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4C" w:rsidRPr="00BB054C" w:rsidRDefault="00BB054C" w:rsidP="00BB054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4C" w:rsidRPr="00BB054C" w:rsidRDefault="00BB054C" w:rsidP="00BB054C">
            <w:pPr>
              <w:suppressAutoHyphens w:val="0"/>
              <w:rPr>
                <w:rFonts w:ascii="Calibri" w:hAnsi="Calibri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4C" w:rsidRPr="00BB054C" w:rsidRDefault="00BB054C" w:rsidP="00BB054C">
            <w:pPr>
              <w:suppressAutoHyphens w:val="0"/>
              <w:rPr>
                <w:rFonts w:ascii="Century Gothic" w:hAnsi="Century Gothic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54C" w:rsidRPr="00BB054C" w:rsidRDefault="00BB054C" w:rsidP="00BB054C">
            <w:pPr>
              <w:suppressAutoHyphens w:val="0"/>
              <w:rPr>
                <w:rFonts w:ascii="Century Gothic" w:hAnsi="Century Gothic" w:cs="Times New Roman"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BB054C">
            <w:pPr>
              <w:suppressAutoHyphens w:val="0"/>
              <w:jc w:val="center"/>
              <w:rPr>
                <w:rFonts w:ascii="Century Gothic" w:hAnsi="Century Gothic" w:cs="Times New Roman"/>
                <w:b/>
                <w:bCs/>
                <w:color w:val="000000"/>
                <w:lang w:eastAsia="pt-BR"/>
              </w:rPr>
            </w:pPr>
            <w:r w:rsidRPr="00BB054C">
              <w:rPr>
                <w:rFonts w:ascii="Century Gothic" w:hAnsi="Century Gothic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54C" w:rsidRPr="00BB054C" w:rsidRDefault="00BB054C" w:rsidP="00712E5F">
            <w:pPr>
              <w:suppressAutoHyphens w:val="0"/>
              <w:jc w:val="center"/>
              <w:rPr>
                <w:rFonts w:ascii="Century Gothic" w:hAnsi="Century Gothic" w:cs="Times New Roman"/>
                <w:b/>
                <w:bCs/>
                <w:color w:val="000000"/>
                <w:lang w:eastAsia="pt-BR"/>
              </w:rPr>
            </w:pPr>
            <w:r w:rsidRPr="00BB054C">
              <w:rPr>
                <w:rFonts w:ascii="Century Gothic" w:hAnsi="Century Gothic" w:cs="Times New Roman"/>
                <w:b/>
                <w:bCs/>
                <w:color w:val="000000"/>
                <w:lang w:eastAsia="pt-BR"/>
              </w:rPr>
              <w:t xml:space="preserve">R$ </w:t>
            </w:r>
            <w:r w:rsidR="00712E5F">
              <w:rPr>
                <w:rFonts w:ascii="Century Gothic" w:hAnsi="Century Gothic" w:cs="Times New Roman"/>
                <w:b/>
                <w:bCs/>
                <w:color w:val="000000"/>
                <w:lang w:eastAsia="pt-BR"/>
              </w:rPr>
              <w:t>7.105</w:t>
            </w:r>
            <w:r w:rsidRPr="00BB054C">
              <w:rPr>
                <w:rFonts w:ascii="Century Gothic" w:hAnsi="Century Gothic" w:cs="Times New Roman"/>
                <w:b/>
                <w:bCs/>
                <w:color w:val="000000"/>
                <w:lang w:eastAsia="pt-BR"/>
              </w:rPr>
              <w:t>,00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2E0FB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 xml:space="preserve">Departamento </w:t>
    </w:r>
    <w:r w:rsidR="00EF722B"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</w:t>
    </w:r>
    <w:r w:rsidR="002E0FBD">
      <w:rPr>
        <w:rFonts w:ascii="Arial" w:hAnsi="Arial" w:cs="Arial"/>
        <w:b/>
        <w:bCs/>
        <w:color w:val="808080"/>
        <w:sz w:val="18"/>
      </w:rPr>
      <w:t>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943424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70658" type="#_x0000_t202" style="position:absolute;left:0;text-align:left;margin-left:334.95pt;margin-top:40.5pt;width:133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mcvA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" filled="f" stroked="f">
          <v:textbox style="mso-fit-shape-to-text:t">
            <w:txbxContent>
              <w:p w:rsidR="00EF722B" w:rsidRPr="00D93BAB" w:rsidRDefault="00FD7D67" w:rsidP="004812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70657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rO9j&#10;Hd8AAAAJAQAADwAAAAAAAAAAAAAAAAASBQAAZHJzL2Rvd25yZXYueG1sUEsFBgAAAAAEAAQA8wAA&#10;AB4GAAAAAA==&#10;" filled="f" stroked="f">
          <v:textbox style="mso-fit-shape-to-text:t">
            <w:txbxContent>
              <w:p w:rsidR="00EF722B" w:rsidRPr="009B642C" w:rsidRDefault="001812C9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1406</w:t>
                </w:r>
                <w:r w:rsidR="00EF722B">
                  <w:rPr>
                    <w:rFonts w:ascii="Arial" w:hAnsi="Arial" w:cs="Arial"/>
                  </w:rPr>
                  <w:t>/201</w:t>
                </w:r>
                <w:r w:rsidR="002E0FBD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0660"/>
    <o:shapelayout v:ext="edit">
      <o:idmap v:ext="edit" data="69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AC5"/>
    <w:rsid w:val="00047B66"/>
    <w:rsid w:val="00062DF8"/>
    <w:rsid w:val="00062F92"/>
    <w:rsid w:val="000753E0"/>
    <w:rsid w:val="00082238"/>
    <w:rsid w:val="000906D3"/>
    <w:rsid w:val="000A3A26"/>
    <w:rsid w:val="000A4AE2"/>
    <w:rsid w:val="000B12E8"/>
    <w:rsid w:val="000B4980"/>
    <w:rsid w:val="000B6F25"/>
    <w:rsid w:val="000C061A"/>
    <w:rsid w:val="000C3110"/>
    <w:rsid w:val="000D1A8B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42DCC"/>
    <w:rsid w:val="00151026"/>
    <w:rsid w:val="0015599A"/>
    <w:rsid w:val="0015703B"/>
    <w:rsid w:val="00163C90"/>
    <w:rsid w:val="0016533B"/>
    <w:rsid w:val="00166760"/>
    <w:rsid w:val="00175172"/>
    <w:rsid w:val="00180B25"/>
    <w:rsid w:val="001812C9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23F6F"/>
    <w:rsid w:val="00242EB6"/>
    <w:rsid w:val="00250CFF"/>
    <w:rsid w:val="00251013"/>
    <w:rsid w:val="00254DA2"/>
    <w:rsid w:val="0025642E"/>
    <w:rsid w:val="00260B46"/>
    <w:rsid w:val="00265CFC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D4862"/>
    <w:rsid w:val="003E4555"/>
    <w:rsid w:val="00402C36"/>
    <w:rsid w:val="00415392"/>
    <w:rsid w:val="00421C5F"/>
    <w:rsid w:val="00422538"/>
    <w:rsid w:val="00426601"/>
    <w:rsid w:val="004276FC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38ED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01C8"/>
    <w:rsid w:val="005524AA"/>
    <w:rsid w:val="00552786"/>
    <w:rsid w:val="00554404"/>
    <w:rsid w:val="00554A13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4168"/>
    <w:rsid w:val="0059524C"/>
    <w:rsid w:val="00597264"/>
    <w:rsid w:val="005A2420"/>
    <w:rsid w:val="005A3D99"/>
    <w:rsid w:val="005B14AE"/>
    <w:rsid w:val="005B4342"/>
    <w:rsid w:val="005B5021"/>
    <w:rsid w:val="005B5DF6"/>
    <w:rsid w:val="005C5914"/>
    <w:rsid w:val="005E3386"/>
    <w:rsid w:val="005E55F0"/>
    <w:rsid w:val="005F4990"/>
    <w:rsid w:val="00602C72"/>
    <w:rsid w:val="00603ECD"/>
    <w:rsid w:val="006041C4"/>
    <w:rsid w:val="00610BD2"/>
    <w:rsid w:val="00615D5F"/>
    <w:rsid w:val="006200E5"/>
    <w:rsid w:val="00623519"/>
    <w:rsid w:val="00623E21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2926"/>
    <w:rsid w:val="006B5F1B"/>
    <w:rsid w:val="006B6D6A"/>
    <w:rsid w:val="006B7B5F"/>
    <w:rsid w:val="006C3E4D"/>
    <w:rsid w:val="006D1282"/>
    <w:rsid w:val="006D28A5"/>
    <w:rsid w:val="006D3219"/>
    <w:rsid w:val="006D661D"/>
    <w:rsid w:val="006E7AC5"/>
    <w:rsid w:val="006F12FA"/>
    <w:rsid w:val="006F5D55"/>
    <w:rsid w:val="006F7454"/>
    <w:rsid w:val="007124F0"/>
    <w:rsid w:val="00712E5F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100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303CB"/>
    <w:rsid w:val="00943424"/>
    <w:rsid w:val="009457C5"/>
    <w:rsid w:val="0095061B"/>
    <w:rsid w:val="00952875"/>
    <w:rsid w:val="00960873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0A0F"/>
    <w:rsid w:val="00A25AEE"/>
    <w:rsid w:val="00A3402F"/>
    <w:rsid w:val="00A349FC"/>
    <w:rsid w:val="00A42D8A"/>
    <w:rsid w:val="00A46789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54C"/>
    <w:rsid w:val="00BB0FD2"/>
    <w:rsid w:val="00BB1082"/>
    <w:rsid w:val="00BB1C2E"/>
    <w:rsid w:val="00BB4400"/>
    <w:rsid w:val="00BB7020"/>
    <w:rsid w:val="00BC3F37"/>
    <w:rsid w:val="00BD009B"/>
    <w:rsid w:val="00BD636D"/>
    <w:rsid w:val="00BD747E"/>
    <w:rsid w:val="00BD7643"/>
    <w:rsid w:val="00BE577D"/>
    <w:rsid w:val="00BE607B"/>
    <w:rsid w:val="00BF0D9F"/>
    <w:rsid w:val="00BF2243"/>
    <w:rsid w:val="00BF3093"/>
    <w:rsid w:val="00BF34EB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C1E54"/>
    <w:rsid w:val="00CD261E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3BAB"/>
    <w:rsid w:val="00D9536D"/>
    <w:rsid w:val="00D96DE0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077E"/>
    <w:rsid w:val="00E532D4"/>
    <w:rsid w:val="00E56BD1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E28C8"/>
    <w:rsid w:val="00EF4B76"/>
    <w:rsid w:val="00EF722B"/>
    <w:rsid w:val="00F0089B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19C4"/>
    <w:rsid w:val="00FA51F9"/>
    <w:rsid w:val="00FA6201"/>
    <w:rsid w:val="00FB7506"/>
    <w:rsid w:val="00FB77FF"/>
    <w:rsid w:val="00FC0CBD"/>
    <w:rsid w:val="00FD7D67"/>
    <w:rsid w:val="00FE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83E0-D6B6-4F86-9BBC-4A1A54C1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2017-04-06T15:42:00Z</cp:lastPrinted>
  <dcterms:created xsi:type="dcterms:W3CDTF">2017-04-06T17:33:00Z</dcterms:created>
  <dcterms:modified xsi:type="dcterms:W3CDTF">2017-04-06T17:33:00Z</dcterms:modified>
</cp:coreProperties>
</file>