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9D231D">
        <w:rPr>
          <w:rFonts w:ascii="Arial" w:hAnsi="Arial" w:cs="Arial"/>
          <w:b/>
          <w:bCs/>
          <w:color w:val="000000" w:themeColor="text1"/>
        </w:rPr>
        <w:t>24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230BA4">
        <w:rPr>
          <w:rFonts w:ascii="Arial" w:hAnsi="Arial" w:cs="Arial"/>
          <w:color w:val="000000" w:themeColor="text1"/>
        </w:rPr>
        <w:t>2134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7910F2" w:rsidRPr="00047B66">
        <w:rPr>
          <w:rFonts w:ascii="Arial" w:hAnsi="Arial" w:cs="Arial"/>
          <w:color w:val="000000" w:themeColor="text1"/>
        </w:rPr>
        <w:t>201</w:t>
      </w:r>
      <w:r w:rsidR="00230BA4">
        <w:rPr>
          <w:rFonts w:ascii="Arial" w:hAnsi="Arial" w:cs="Arial"/>
          <w:color w:val="000000" w:themeColor="text1"/>
        </w:rPr>
        <w:t>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8.666/93</w:t>
      </w:r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047B6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047B6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C91B91">
        <w:rPr>
          <w:rFonts w:ascii="Arial" w:hAnsi="Arial"/>
          <w:color w:val="000000" w:themeColor="text1"/>
          <w:sz w:val="24"/>
        </w:rPr>
        <w:t>05</w:t>
      </w:r>
      <w:r w:rsidR="008E01B1" w:rsidRPr="00047B66">
        <w:rPr>
          <w:rFonts w:ascii="Arial" w:hAnsi="Arial"/>
          <w:color w:val="000000" w:themeColor="text1"/>
          <w:sz w:val="24"/>
        </w:rPr>
        <w:t>/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C91B91">
        <w:rPr>
          <w:rFonts w:ascii="Arial" w:hAnsi="Arial"/>
          <w:color w:val="000000" w:themeColor="text1"/>
          <w:sz w:val="24"/>
        </w:rPr>
        <w:t>6</w:t>
      </w:r>
      <w:bookmarkStart w:id="0" w:name="_GoBack"/>
      <w:bookmarkEnd w:id="0"/>
      <w:r w:rsidR="007D4F59" w:rsidRPr="00047B66">
        <w:rPr>
          <w:rFonts w:ascii="Arial" w:hAnsi="Arial"/>
          <w:color w:val="000000" w:themeColor="text1"/>
          <w:sz w:val="24"/>
        </w:rPr>
        <w:t>/</w:t>
      </w:r>
      <w:r w:rsidR="009A3A4C" w:rsidRPr="00047B66">
        <w:rPr>
          <w:rFonts w:ascii="Arial" w:hAnsi="Arial"/>
          <w:color w:val="000000" w:themeColor="text1"/>
          <w:sz w:val="24"/>
        </w:rPr>
        <w:t>201</w:t>
      </w:r>
      <w:r w:rsidR="000312BA">
        <w:rPr>
          <w:rFonts w:ascii="Arial" w:hAnsi="Arial"/>
          <w:color w:val="000000" w:themeColor="text1"/>
          <w:sz w:val="24"/>
        </w:rPr>
        <w:t>7</w:t>
      </w:r>
      <w:r w:rsidRPr="00047B66">
        <w:rPr>
          <w:rFonts w:ascii="Arial" w:hAnsi="Arial"/>
          <w:color w:val="000000" w:themeColor="text1"/>
          <w:sz w:val="24"/>
        </w:rPr>
        <w:t xml:space="preserve"> às </w:t>
      </w:r>
      <w:r w:rsidR="00047B66" w:rsidRPr="00047B66">
        <w:rPr>
          <w:rFonts w:ascii="Arial" w:hAnsi="Arial"/>
          <w:color w:val="000000" w:themeColor="text1"/>
          <w:sz w:val="24"/>
        </w:rPr>
        <w:t>0</w:t>
      </w:r>
      <w:r w:rsidR="008D65C6">
        <w:rPr>
          <w:rFonts w:ascii="Arial" w:hAnsi="Arial"/>
          <w:color w:val="000000" w:themeColor="text1"/>
          <w:sz w:val="24"/>
        </w:rPr>
        <w:t>9</w:t>
      </w:r>
      <w:r w:rsidR="008E01B1" w:rsidRPr="00047B66">
        <w:rPr>
          <w:rFonts w:ascii="Arial" w:hAnsi="Arial"/>
          <w:color w:val="000000" w:themeColor="text1"/>
          <w:sz w:val="24"/>
        </w:rPr>
        <w:t>:</w:t>
      </w:r>
      <w:r w:rsidR="004E6DC0" w:rsidRPr="00047B66">
        <w:rPr>
          <w:rFonts w:ascii="Arial" w:hAnsi="Arial"/>
          <w:color w:val="000000" w:themeColor="text1"/>
          <w:sz w:val="24"/>
        </w:rPr>
        <w:t>0</w:t>
      </w:r>
      <w:r w:rsidRPr="00047B66">
        <w:rPr>
          <w:rFonts w:ascii="Arial" w:hAnsi="Arial"/>
          <w:color w:val="000000" w:themeColor="text1"/>
          <w:sz w:val="24"/>
        </w:rPr>
        <w:t>0</w:t>
      </w:r>
      <w:r w:rsidR="008E01B1" w:rsidRPr="00047B66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1.2 - A presente</w:t>
      </w:r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230BA4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Contratação de Serviços de Confecção de Adesivos para identificação da frota </w:t>
      </w:r>
      <w:r w:rsidR="00B3194A">
        <w:rPr>
          <w:rFonts w:ascii="Arial" w:hAnsi="Arial" w:cs="Arial"/>
          <w:color w:val="000000" w:themeColor="text1"/>
        </w:rPr>
        <w:t>de veículos</w:t>
      </w:r>
      <w:r>
        <w:rPr>
          <w:rFonts w:ascii="Arial" w:hAnsi="Arial" w:cs="Arial"/>
          <w:color w:val="000000" w:themeColor="text1"/>
        </w:rPr>
        <w:t xml:space="preserve"> da Secretaria Municipal de Obras</w:t>
      </w:r>
      <w:r w:rsidR="00175172" w:rsidRPr="00047B66">
        <w:rPr>
          <w:rFonts w:ascii="Arial" w:hAnsi="Arial" w:cs="Arial"/>
          <w:color w:val="000000" w:themeColor="text1"/>
        </w:rPr>
        <w:t>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230BA4" w:rsidRDefault="00230BA4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É de fundamental importância a contratação devido a necessidade desta administração em adesivar a frota de veículos e maquinas dessa secretaria para que assim possamos identificar os veículos públicos sob a responsabilidade dessa administração.</w:t>
      </w:r>
    </w:p>
    <w:p w:rsidR="007A088D" w:rsidRPr="00047B66" w:rsidRDefault="00230BA4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Foi </w:t>
      </w:r>
      <w:r w:rsidR="00B3194A">
        <w:rPr>
          <w:rFonts w:ascii="Arial" w:hAnsi="Arial" w:cs="Arial"/>
          <w:color w:val="000000" w:themeColor="text1"/>
        </w:rPr>
        <w:t>solicitada</w:t>
      </w:r>
      <w:r>
        <w:rPr>
          <w:rFonts w:ascii="Arial" w:hAnsi="Arial" w:cs="Arial"/>
          <w:color w:val="000000" w:themeColor="text1"/>
        </w:rPr>
        <w:t xml:space="preserve"> uma quantia estimativa, pois esta secretaria possui máquinas e veículos a serem entregues</w:t>
      </w:r>
      <w:r w:rsidR="00BB7020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As despesas ocorrerão com recursos d</w:t>
      </w:r>
      <w:r w:rsidR="009F1806">
        <w:rPr>
          <w:rFonts w:ascii="Arial" w:hAnsi="Arial" w:cs="Arial"/>
          <w:color w:val="000000" w:themeColor="text1"/>
        </w:rPr>
        <w:t>a Secretaria</w:t>
      </w:r>
      <w:r w:rsidR="00681879">
        <w:rPr>
          <w:rFonts w:ascii="Arial" w:hAnsi="Arial" w:cs="Arial"/>
          <w:color w:val="000000" w:themeColor="text1"/>
        </w:rPr>
        <w:t xml:space="preserve"> Municipal de </w:t>
      </w:r>
      <w:r w:rsidR="00923B86">
        <w:rPr>
          <w:rFonts w:ascii="Arial" w:hAnsi="Arial" w:cs="Arial"/>
          <w:color w:val="000000" w:themeColor="text1"/>
        </w:rPr>
        <w:t>Saúde</w:t>
      </w:r>
      <w:r w:rsidRPr="00047B66">
        <w:rPr>
          <w:rFonts w:ascii="Arial" w:hAnsi="Arial" w:cs="Arial"/>
          <w:color w:val="000000" w:themeColor="text1"/>
        </w:rPr>
        <w:t xml:space="preserve"> - Projeto Atividade </w:t>
      </w:r>
      <w:r w:rsidR="00681879">
        <w:rPr>
          <w:rFonts w:ascii="Arial" w:hAnsi="Arial" w:cs="Arial"/>
          <w:color w:val="000000" w:themeColor="text1"/>
        </w:rPr>
        <w:t>2.</w:t>
      </w:r>
      <w:r w:rsidR="00B3194A">
        <w:rPr>
          <w:rFonts w:ascii="Arial" w:hAnsi="Arial" w:cs="Arial"/>
          <w:color w:val="000000" w:themeColor="text1"/>
        </w:rPr>
        <w:t>093</w:t>
      </w:r>
      <w:r w:rsidRPr="00047B66">
        <w:rPr>
          <w:rFonts w:ascii="Arial" w:hAnsi="Arial" w:cs="Arial"/>
          <w:color w:val="000000" w:themeColor="text1"/>
        </w:rPr>
        <w:t>, da ca</w:t>
      </w:r>
      <w:r w:rsidR="00EA44A5">
        <w:rPr>
          <w:rFonts w:ascii="Arial" w:hAnsi="Arial" w:cs="Arial"/>
          <w:color w:val="000000" w:themeColor="text1"/>
        </w:rPr>
        <w:t xml:space="preserve">tegoria econômica da Categoria </w:t>
      </w:r>
      <w:r w:rsidRPr="00047B66">
        <w:rPr>
          <w:rFonts w:ascii="Arial" w:hAnsi="Arial" w:cs="Arial"/>
          <w:color w:val="000000" w:themeColor="text1"/>
        </w:rPr>
        <w:t>33.90.3</w:t>
      </w:r>
      <w:r w:rsidR="00B3194A">
        <w:rPr>
          <w:rFonts w:ascii="Arial" w:hAnsi="Arial" w:cs="Arial"/>
          <w:color w:val="000000" w:themeColor="text1"/>
        </w:rPr>
        <w:t>9</w:t>
      </w:r>
      <w:r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50766C" w:rsidRPr="00047B66">
        <w:rPr>
          <w:rFonts w:ascii="Arial" w:hAnsi="Arial" w:cs="Arial"/>
          <w:b/>
          <w:color w:val="000000" w:themeColor="text1"/>
        </w:rPr>
        <w:t xml:space="preserve"> </w:t>
      </w:r>
      <w:r w:rsidR="00C4499F">
        <w:rPr>
          <w:rFonts w:ascii="Arial" w:hAnsi="Arial" w:cs="Arial"/>
          <w:b/>
          <w:color w:val="000000" w:themeColor="text1"/>
        </w:rPr>
        <w:t xml:space="preserve">ENTREGA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C4499F" w:rsidRDefault="00C4499F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entrega deverá ocorrer</w:t>
      </w:r>
      <w:r w:rsidR="00335D4A">
        <w:rPr>
          <w:rFonts w:ascii="Arial" w:hAnsi="Arial" w:cs="Arial"/>
          <w:color w:val="000000" w:themeColor="text1"/>
        </w:rPr>
        <w:t xml:space="preserve"> no prazo de até 1</w:t>
      </w:r>
      <w:r w:rsidR="004A0F4E">
        <w:rPr>
          <w:rFonts w:ascii="Arial" w:hAnsi="Arial" w:cs="Arial"/>
          <w:color w:val="000000" w:themeColor="text1"/>
        </w:rPr>
        <w:t>5</w:t>
      </w:r>
      <w:r w:rsidR="00335D4A">
        <w:rPr>
          <w:rFonts w:ascii="Arial" w:hAnsi="Arial" w:cs="Arial"/>
          <w:color w:val="000000" w:themeColor="text1"/>
        </w:rPr>
        <w:t xml:space="preserve"> (</w:t>
      </w:r>
      <w:r w:rsidR="00C95C2A">
        <w:rPr>
          <w:rFonts w:ascii="Arial" w:hAnsi="Arial" w:cs="Arial"/>
          <w:color w:val="000000" w:themeColor="text1"/>
        </w:rPr>
        <w:t>quinze</w:t>
      </w:r>
      <w:r w:rsidR="00335D4A">
        <w:rPr>
          <w:rFonts w:ascii="Arial" w:hAnsi="Arial" w:cs="Arial"/>
          <w:color w:val="000000" w:themeColor="text1"/>
        </w:rPr>
        <w:t>) dias a contar do recebimento da Nota de Empenho</w:t>
      </w:r>
      <w:r w:rsidR="00C95C2A">
        <w:rPr>
          <w:rFonts w:ascii="Arial" w:hAnsi="Arial" w:cs="Arial"/>
          <w:color w:val="000000" w:themeColor="text1"/>
        </w:rPr>
        <w:t xml:space="preserve"> e solicitação da referida Secretaria</w:t>
      </w:r>
      <w:r w:rsidR="00335D4A">
        <w:rPr>
          <w:rFonts w:ascii="Arial" w:hAnsi="Arial" w:cs="Arial"/>
          <w:color w:val="000000" w:themeColor="text1"/>
        </w:rPr>
        <w:t>. Caso o referido prazo não seja cumprido pela empresa vencedora</w:t>
      </w:r>
      <w:r w:rsidR="00AD7EA7">
        <w:rPr>
          <w:rFonts w:ascii="Arial" w:hAnsi="Arial" w:cs="Arial"/>
          <w:color w:val="000000" w:themeColor="text1"/>
        </w:rPr>
        <w:t>, sem prévia justificativa a Contratante, a mesma fica sujeita as sanções dos Artigos 86 a 88 da Lei 8.666/93 e outras penalidades aplicáveis.</w:t>
      </w:r>
    </w:p>
    <w:p w:rsidR="00EF722B" w:rsidRPr="00047B66" w:rsidRDefault="00923B86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Fica a Comissão de recebimento de material, r</w:t>
      </w:r>
      <w:r w:rsidR="00335D4A">
        <w:rPr>
          <w:rFonts w:ascii="Arial" w:hAnsi="Arial" w:cs="Arial"/>
          <w:color w:val="000000" w:themeColor="text1"/>
        </w:rPr>
        <w:t>esponsável pelo recebimento e a</w:t>
      </w:r>
      <w:r>
        <w:rPr>
          <w:rFonts w:ascii="Arial" w:hAnsi="Arial" w:cs="Arial"/>
          <w:color w:val="000000" w:themeColor="text1"/>
        </w:rPr>
        <w:t xml:space="preserve"> fiscalização dos mesmos</w:t>
      </w:r>
      <w:r w:rsidR="00EF722B"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Fornecimento dos serviços qualificado para o trabalho proposto, dentro da boa técnica em trabalhos deste gênero, nos termos da proposta.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Manter enquanto estiver em vigor o contrato, as exigências do Edital no que diz respeito à habilitação;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Fica a cargo do contratante, exercer, ampla, restrita e permanente fiscalização durante toda a entrega dos itens relacionados em anexo, bem como estabelecer parâmetro e diretrizes na execução, aplicando a CONTRATADO(o), nos termos da regulamentação própria, sanções cabíveis pela infrações acaso verificadas, após devidamente apuradas.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Os equipamentos necessários para a realização dos serviços referentes ao objeto descrito no item 02 serão de prioridade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4A0F4E">
        <w:rPr>
          <w:rFonts w:ascii="Arial" w:hAnsi="Arial" w:cs="Arial"/>
          <w:color w:val="000000" w:themeColor="text1"/>
        </w:rPr>
        <w:t>120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4A0F4E">
        <w:rPr>
          <w:rFonts w:ascii="Arial" w:hAnsi="Arial" w:cs="Arial"/>
          <w:color w:val="000000" w:themeColor="text1"/>
        </w:rPr>
        <w:t>cento e vinte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9F53CE"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REQUISITOS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A validade das certidões emitidas pela INTERNET ficam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>.1 - ENVELOPE “PROPOSTA DE PREÇOS”: O envelope “PROPOSTA DE PREÇOS” deverá apresentar-se inviolável e ser entregue até a data e hora indicados,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</w:t>
      </w:r>
      <w:r w:rsidR="008D65C6">
        <w:rPr>
          <w:rFonts w:ascii="Arial" w:hAnsi="Arial" w:cs="Arial"/>
          <w:b/>
          <w:color w:val="000000" w:themeColor="text1"/>
        </w:rPr>
        <w:t>24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4A0F4E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8D65C6">
        <w:rPr>
          <w:rFonts w:ascii="Arial" w:hAnsi="Arial" w:cs="Arial"/>
          <w:color w:val="000000" w:themeColor="text1"/>
        </w:rPr>
        <w:t>2</w:t>
      </w:r>
      <w:r w:rsidR="00B76348">
        <w:rPr>
          <w:rFonts w:ascii="Arial" w:hAnsi="Arial" w:cs="Arial"/>
          <w:color w:val="000000" w:themeColor="text1"/>
        </w:rPr>
        <w:t>5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4A0F4E">
        <w:rPr>
          <w:rFonts w:ascii="Arial" w:hAnsi="Arial" w:cs="Arial"/>
          <w:color w:val="000000" w:themeColor="text1"/>
        </w:rPr>
        <w:t>maio</w:t>
      </w:r>
      <w:r w:rsidR="00062DF8" w:rsidRPr="00047B66">
        <w:rPr>
          <w:rFonts w:ascii="Arial" w:hAnsi="Arial" w:cs="Arial"/>
          <w:color w:val="000000" w:themeColor="text1"/>
        </w:rPr>
        <w:t xml:space="preserve"> 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6F12FA" w:rsidRPr="00047B66" w:rsidRDefault="00FC0CBD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6F5D55" w:rsidRPr="00047B66" w:rsidRDefault="00D373B0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2E262D" w:rsidRPr="00047B66" w:rsidRDefault="002E262D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844A7F">
        <w:rPr>
          <w:rFonts w:ascii="Arial" w:hAnsi="Arial" w:cs="Arial"/>
          <w:color w:val="000000" w:themeColor="text1"/>
        </w:rPr>
        <w:t>259</w:t>
      </w:r>
      <w:r w:rsidRPr="00047B66">
        <w:rPr>
          <w:rFonts w:ascii="Arial" w:hAnsi="Arial" w:cs="Arial"/>
          <w:color w:val="000000" w:themeColor="text1"/>
        </w:rPr>
        <w:t>/201</w:t>
      </w:r>
      <w:r w:rsidR="00844A7F">
        <w:rPr>
          <w:rFonts w:ascii="Arial" w:hAnsi="Arial" w:cs="Arial"/>
          <w:color w:val="000000" w:themeColor="text1"/>
        </w:rPr>
        <w:t>7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Pr="00047B66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2017AC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81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180"/>
        <w:gridCol w:w="576"/>
        <w:gridCol w:w="754"/>
        <w:gridCol w:w="1060"/>
        <w:gridCol w:w="1300"/>
      </w:tblGrid>
      <w:tr w:rsidR="00E0029F" w:rsidRPr="00E0029F" w:rsidTr="00E0029F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V.UNIT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E0029F" w:rsidRPr="00E0029F" w:rsidTr="000456DC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29F" w:rsidRPr="00E0029F" w:rsidRDefault="00E0029F" w:rsidP="00E0029F">
            <w:pPr>
              <w:suppressAutoHyphens w:val="0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Adesivo em papel contact no tamanho de 0,30x0,30 cm conforme modelo a definir.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0029F" w:rsidRPr="00E0029F" w:rsidTr="00E0029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9F" w:rsidRPr="00E0029F" w:rsidRDefault="00E0029F" w:rsidP="00E0029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9F" w:rsidRPr="00E0029F" w:rsidRDefault="00E0029F" w:rsidP="00E0029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9F" w:rsidRPr="00E0029F" w:rsidRDefault="00E0029F" w:rsidP="00E0029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9F" w:rsidRPr="00E0029F" w:rsidRDefault="00E0029F" w:rsidP="00E0029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9F" w:rsidRPr="00E0029F" w:rsidRDefault="00E0029F" w:rsidP="00E002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5524AA" w:rsidRPr="00047B66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771091" w:rsidRPr="00047B66" w:rsidRDefault="00771091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  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0456DC" w:rsidRPr="00047B66" w:rsidRDefault="000456D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lastRenderedPageBreak/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81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180"/>
        <w:gridCol w:w="576"/>
        <w:gridCol w:w="754"/>
        <w:gridCol w:w="1060"/>
        <w:gridCol w:w="1300"/>
      </w:tblGrid>
      <w:tr w:rsidR="000456DC" w:rsidRPr="00E0029F" w:rsidTr="006B0163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V.UNIT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0456DC" w:rsidRPr="00E0029F" w:rsidTr="006B0163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DC" w:rsidRPr="00E0029F" w:rsidRDefault="000456DC" w:rsidP="006B0163">
            <w:pPr>
              <w:suppressAutoHyphens w:val="0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Adesivo em papel contact no tamanho de 0,30x0,30 cm conforme modelo a definir.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und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Verdana" w:hAnsi="Verdana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R$        8,00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E0029F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R$       1.600,00 </w:t>
            </w:r>
          </w:p>
        </w:tc>
      </w:tr>
      <w:tr w:rsidR="000456DC" w:rsidRPr="00E0029F" w:rsidTr="006B016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DC" w:rsidRPr="00E0029F" w:rsidRDefault="000456DC" w:rsidP="006B01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DC" w:rsidRPr="00E0029F" w:rsidRDefault="000456DC" w:rsidP="006B01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DC" w:rsidRPr="00E0029F" w:rsidRDefault="000456DC" w:rsidP="006B01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DC" w:rsidRPr="00E0029F" w:rsidRDefault="000456DC" w:rsidP="006B0163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DC" w:rsidRPr="00E0029F" w:rsidRDefault="000456DC" w:rsidP="006B016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02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R$ 1.600,00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B" w:rsidRDefault="00EF722B" w:rsidP="00662A48">
      <w:r>
        <w:separator/>
      </w:r>
    </w:p>
  </w:endnote>
  <w:endnote w:type="continuationSeparator" w:id="0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F72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B" w:rsidRDefault="00EF722B" w:rsidP="00662A48">
      <w:r>
        <w:separator/>
      </w:r>
    </w:p>
  </w:footnote>
  <w:footnote w:type="continuationSeparator" w:id="0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B5585A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56322" type="#_x0000_t202" style="position:absolute;left:0;text-align:left;margin-left:341.9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" filled="f" stroked="f">
          <v:textbox style="mso-fit-shape-to-text:t">
            <w:txbxContent>
              <w:p w:rsidR="00EF722B" w:rsidRPr="009B642C" w:rsidRDefault="00912FCA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56321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EPyTI98AAAAJAQAADwAAAAAAAAAAAAAAAAAVBQAAZHJzL2Rvd25yZXYueG1sUEsFBgAAAAAEAAQA&#10;8wAAACEGAAAAAA==&#10;" filled="f" stroked="f">
          <v:textbox style="mso-fit-shape-to-text:t">
            <w:txbxContent>
              <w:p w:rsidR="00EF722B" w:rsidRPr="009B642C" w:rsidRDefault="00230BA4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2134</w:t>
                </w:r>
                <w:r w:rsidR="00EF722B">
                  <w:rPr>
                    <w:rFonts w:ascii="Arial" w:hAnsi="Arial" w:cs="Arial"/>
                  </w:rPr>
                  <w:t>/201</w:t>
                </w:r>
                <w:r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>
      <w:rPr>
        <w:rFonts w:ascii="Arial" w:hAnsi="Arial" w:cs="Arial"/>
        <w:b/>
        <w:bCs/>
        <w:sz w:val="20"/>
        <w:szCs w:val="20"/>
      </w:rPr>
      <w:t xml:space="preserve">            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EF722B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6324"/>
    <o:shapelayout v:ext="edit">
      <o:idmap v:ext="edit" data="55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56DC"/>
    <w:rsid w:val="00047B66"/>
    <w:rsid w:val="00062DF8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36237"/>
    <w:rsid w:val="0014113A"/>
    <w:rsid w:val="001422C4"/>
    <w:rsid w:val="00151026"/>
    <w:rsid w:val="0015599A"/>
    <w:rsid w:val="00163C90"/>
    <w:rsid w:val="0016533B"/>
    <w:rsid w:val="00166760"/>
    <w:rsid w:val="00175172"/>
    <w:rsid w:val="00180B25"/>
    <w:rsid w:val="00190A6E"/>
    <w:rsid w:val="001947CC"/>
    <w:rsid w:val="00196BC3"/>
    <w:rsid w:val="001A2472"/>
    <w:rsid w:val="001A4ACC"/>
    <w:rsid w:val="001B019D"/>
    <w:rsid w:val="001B1F67"/>
    <w:rsid w:val="001C0401"/>
    <w:rsid w:val="001C1987"/>
    <w:rsid w:val="001C3F82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30BA4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B044F"/>
    <w:rsid w:val="002B0A39"/>
    <w:rsid w:val="002B5D5E"/>
    <w:rsid w:val="002B6FFF"/>
    <w:rsid w:val="002C1AE7"/>
    <w:rsid w:val="002C3527"/>
    <w:rsid w:val="002C5563"/>
    <w:rsid w:val="002C56F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7002D"/>
    <w:rsid w:val="00370393"/>
    <w:rsid w:val="00370C73"/>
    <w:rsid w:val="00371ED0"/>
    <w:rsid w:val="00375C33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E4555"/>
    <w:rsid w:val="00415392"/>
    <w:rsid w:val="00421C5F"/>
    <w:rsid w:val="00422538"/>
    <w:rsid w:val="00426601"/>
    <w:rsid w:val="0043270A"/>
    <w:rsid w:val="00432D1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0F4E"/>
    <w:rsid w:val="004A1C8A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B14AE"/>
    <w:rsid w:val="005B4342"/>
    <w:rsid w:val="005B5021"/>
    <w:rsid w:val="005B5DF6"/>
    <w:rsid w:val="005E3386"/>
    <w:rsid w:val="005E55F0"/>
    <w:rsid w:val="005F499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D3219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608EA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73E6"/>
    <w:rsid w:val="00844A7F"/>
    <w:rsid w:val="008558D2"/>
    <w:rsid w:val="00867B8B"/>
    <w:rsid w:val="0088240F"/>
    <w:rsid w:val="00886E30"/>
    <w:rsid w:val="00893F3D"/>
    <w:rsid w:val="008A0DB7"/>
    <w:rsid w:val="008A31D1"/>
    <w:rsid w:val="008B3B38"/>
    <w:rsid w:val="008B698D"/>
    <w:rsid w:val="008C359D"/>
    <w:rsid w:val="008C56AD"/>
    <w:rsid w:val="008D1AA5"/>
    <w:rsid w:val="008D2A6D"/>
    <w:rsid w:val="008D44DC"/>
    <w:rsid w:val="008D460E"/>
    <w:rsid w:val="008D65C6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170F"/>
    <w:rsid w:val="00992FED"/>
    <w:rsid w:val="009A0CFE"/>
    <w:rsid w:val="009A3A4C"/>
    <w:rsid w:val="009A43F7"/>
    <w:rsid w:val="009B642C"/>
    <w:rsid w:val="009D231D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722BD"/>
    <w:rsid w:val="00A84303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194A"/>
    <w:rsid w:val="00B327BF"/>
    <w:rsid w:val="00B33F6D"/>
    <w:rsid w:val="00B348BD"/>
    <w:rsid w:val="00B47F03"/>
    <w:rsid w:val="00B516D7"/>
    <w:rsid w:val="00B5585A"/>
    <w:rsid w:val="00B56623"/>
    <w:rsid w:val="00B57633"/>
    <w:rsid w:val="00B57935"/>
    <w:rsid w:val="00B61D84"/>
    <w:rsid w:val="00B667F5"/>
    <w:rsid w:val="00B70251"/>
    <w:rsid w:val="00B71424"/>
    <w:rsid w:val="00B7218F"/>
    <w:rsid w:val="00B76348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B7020"/>
    <w:rsid w:val="00BC3F37"/>
    <w:rsid w:val="00BD636D"/>
    <w:rsid w:val="00BD747E"/>
    <w:rsid w:val="00BE577D"/>
    <w:rsid w:val="00BE607B"/>
    <w:rsid w:val="00BF2243"/>
    <w:rsid w:val="00BF3093"/>
    <w:rsid w:val="00BF5D2D"/>
    <w:rsid w:val="00BF6331"/>
    <w:rsid w:val="00C04294"/>
    <w:rsid w:val="00C0450A"/>
    <w:rsid w:val="00C23B68"/>
    <w:rsid w:val="00C23E39"/>
    <w:rsid w:val="00C31F1C"/>
    <w:rsid w:val="00C31F58"/>
    <w:rsid w:val="00C43A9F"/>
    <w:rsid w:val="00C449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91B91"/>
    <w:rsid w:val="00C95C2A"/>
    <w:rsid w:val="00CA0D81"/>
    <w:rsid w:val="00CA48F7"/>
    <w:rsid w:val="00CB088E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0029F"/>
    <w:rsid w:val="00E10B05"/>
    <w:rsid w:val="00E209E7"/>
    <w:rsid w:val="00E217DA"/>
    <w:rsid w:val="00E2741A"/>
    <w:rsid w:val="00E3046B"/>
    <w:rsid w:val="00E34E9A"/>
    <w:rsid w:val="00E4232D"/>
    <w:rsid w:val="00E455E4"/>
    <w:rsid w:val="00E4618A"/>
    <w:rsid w:val="00E46399"/>
    <w:rsid w:val="00E532D4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F4B76"/>
    <w:rsid w:val="00EF722B"/>
    <w:rsid w:val="00F0089B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51F9"/>
    <w:rsid w:val="00FA6201"/>
    <w:rsid w:val="00FB7506"/>
    <w:rsid w:val="00FB77FF"/>
    <w:rsid w:val="00FC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1D53-9F01-45C1-B7EF-5FCD7B9F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2017-05-31T12:01:00Z</cp:lastPrinted>
  <dcterms:created xsi:type="dcterms:W3CDTF">2017-05-31T13:20:00Z</dcterms:created>
  <dcterms:modified xsi:type="dcterms:W3CDTF">2017-05-31T13:20:00Z</dcterms:modified>
</cp:coreProperties>
</file>