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D4365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D4365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50676D">
        <w:rPr>
          <w:rFonts w:ascii="Arial" w:hAnsi="Arial" w:cs="Arial"/>
          <w:b/>
          <w:bCs/>
          <w:color w:val="000000" w:themeColor="text1"/>
        </w:rPr>
        <w:t>45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D43654">
      <w:pPr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297FA3">
        <w:rPr>
          <w:rFonts w:ascii="Arial" w:hAnsi="Arial" w:cs="Arial"/>
          <w:color w:val="000000" w:themeColor="text1"/>
        </w:rPr>
        <w:t>6224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D43654">
      <w:pPr>
        <w:pStyle w:val="Ttulo3"/>
        <w:tabs>
          <w:tab w:val="clear" w:pos="720"/>
          <w:tab w:val="num" w:pos="0"/>
        </w:tabs>
        <w:spacing w:line="360" w:lineRule="auto"/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D4365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D43654">
      <w:pPr>
        <w:pStyle w:val="Ttulo5"/>
        <w:spacing w:line="360" w:lineRule="auto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50676D">
        <w:rPr>
          <w:rFonts w:ascii="Arial" w:hAnsi="Arial"/>
          <w:color w:val="000000" w:themeColor="text1"/>
          <w:sz w:val="24"/>
        </w:rPr>
        <w:t>01</w:t>
      </w:r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50676D">
        <w:rPr>
          <w:rFonts w:ascii="Arial" w:hAnsi="Arial"/>
          <w:color w:val="000000" w:themeColor="text1"/>
          <w:sz w:val="24"/>
        </w:rPr>
        <w:t>12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50676D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r w:rsidR="008E01B1" w:rsidRPr="00FB6AB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D43654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175172" w:rsidRDefault="00B826AD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</w:t>
      </w:r>
      <w:r w:rsidR="00297FA3">
        <w:rPr>
          <w:rFonts w:ascii="Arial" w:hAnsi="Arial" w:cs="Arial"/>
          <w:color w:val="000000" w:themeColor="text1"/>
        </w:rPr>
        <w:t>o de empresa especializada em serviço de sonorização durante a comemoração alusiva ao natal de luz do Município de Rolim de Moura – RO.</w:t>
      </w:r>
    </w:p>
    <w:p w:rsidR="00297FA3" w:rsidRPr="00047B66" w:rsidRDefault="00297FA3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AB4CB9" w:rsidRPr="00D43654" w:rsidRDefault="00AB4CB9" w:rsidP="00D43654">
      <w:pPr>
        <w:spacing w:line="360" w:lineRule="auto"/>
        <w:jc w:val="both"/>
        <w:rPr>
          <w:rFonts w:ascii="Arial" w:hAnsi="Arial" w:cs="Arial"/>
          <w:lang w:val="pt-PT"/>
        </w:rPr>
      </w:pPr>
      <w:r w:rsidRPr="00D43654">
        <w:rPr>
          <w:rFonts w:ascii="Arial" w:hAnsi="Arial" w:cs="Arial"/>
          <w:lang w:val="pt-PT"/>
        </w:rPr>
        <w:t>Como toda festa religiosa, o Natal é rico em símbolos e apresentações. Porém são poucos aqueles que conhecem suas origens e seus significados. O Natal marca a grande festa de solidariedade universal, pois é comemorada em todo o mundo, até</w:t>
      </w:r>
      <w:r w:rsidRPr="00D43654">
        <w:rPr>
          <w:rFonts w:ascii="Arial" w:hAnsi="Arial" w:cs="Arial"/>
          <w:color w:val="333333"/>
          <w:lang w:val="pt-PT"/>
        </w:rPr>
        <w:t xml:space="preserve"> </w:t>
      </w:r>
      <w:r w:rsidRPr="00D43654">
        <w:rPr>
          <w:rFonts w:ascii="Arial" w:hAnsi="Arial" w:cs="Arial"/>
          <w:lang w:val="pt-PT"/>
        </w:rPr>
        <w:t xml:space="preserve">mesmo onde a população cristã é minoria. Podemos sentir que, quando o dia 25 se aproxima, certa ternura vai envolvendo a todos, e o ar fica carregado de uma grande expectativa. O Natal, enfim, cultiva nas pessoas sentimentos muitas vezes esquecidos, como o amor ao próximo. As apresentações natalinas nos deixam </w:t>
      </w:r>
      <w:r w:rsidRPr="00D43654">
        <w:rPr>
          <w:rFonts w:ascii="Arial" w:hAnsi="Arial" w:cs="Arial"/>
          <w:shd w:val="clear" w:color="auto" w:fill="FFFFFF"/>
        </w:rPr>
        <w:t>mais vulneráveis às sentimentalidades</w:t>
      </w:r>
      <w:r w:rsidRPr="00D43654">
        <w:rPr>
          <w:rFonts w:ascii="Arial" w:hAnsi="Arial" w:cs="Arial"/>
          <w:lang w:val="pt-PT"/>
        </w:rPr>
        <w:t xml:space="preserve">, </w:t>
      </w:r>
      <w:r w:rsidRPr="00D43654">
        <w:rPr>
          <w:rFonts w:ascii="Arial" w:hAnsi="Arial" w:cs="Arial"/>
          <w:shd w:val="clear" w:color="auto" w:fill="FFFFFF"/>
        </w:rPr>
        <w:t>através da espiritualidade do nascimento de Jesus.</w:t>
      </w:r>
    </w:p>
    <w:p w:rsidR="00AB4CB9" w:rsidRPr="00D43654" w:rsidRDefault="00AB4CB9" w:rsidP="00D43654">
      <w:pPr>
        <w:spacing w:line="360" w:lineRule="auto"/>
        <w:jc w:val="both"/>
        <w:rPr>
          <w:rFonts w:ascii="Arial" w:hAnsi="Arial" w:cs="Arial"/>
          <w:lang w:val="pt-PT"/>
        </w:rPr>
      </w:pPr>
      <w:r w:rsidRPr="00D43654">
        <w:rPr>
          <w:rFonts w:ascii="Arial" w:hAnsi="Arial" w:cs="Arial"/>
          <w:shd w:val="clear" w:color="auto" w:fill="FFFFFF"/>
        </w:rPr>
        <w:lastRenderedPageBreak/>
        <w:t>Natal é comemoração que traz os sentimentos de paz, amor, fraternidade, respeito ao próximo e esperança, que devem ser vividos por toda comunidade.</w:t>
      </w:r>
    </w:p>
    <w:p w:rsidR="00AB4CB9" w:rsidRPr="00D43654" w:rsidRDefault="00AB4CB9" w:rsidP="00D43654">
      <w:pPr>
        <w:spacing w:line="360" w:lineRule="auto"/>
        <w:jc w:val="both"/>
        <w:rPr>
          <w:rFonts w:ascii="Arial" w:hAnsi="Arial" w:cs="Arial"/>
          <w:lang w:val="pt-PT"/>
        </w:rPr>
      </w:pPr>
      <w:r w:rsidRPr="00D43654">
        <w:rPr>
          <w:rFonts w:ascii="Arial" w:hAnsi="Arial" w:cs="Arial"/>
          <w:lang w:val="pt-PT"/>
        </w:rPr>
        <w:t xml:space="preserve">O município de Rolim de Moura, seguindo esta tradição no ano de 2009 lançou o projeto do natal, onde expós várias apresentações natalinas que encantou os Rolimorenses, atraindo um grande número de turistas da zona da mata, motivando em media mais de 1.500 pessoas a assistirem cada apresentação de Natal. </w:t>
      </w:r>
    </w:p>
    <w:p w:rsidR="00AB4CB9" w:rsidRPr="00D43654" w:rsidRDefault="00AB4CB9" w:rsidP="00D43654">
      <w:pPr>
        <w:spacing w:line="360" w:lineRule="auto"/>
        <w:jc w:val="both"/>
        <w:rPr>
          <w:rFonts w:ascii="Arial" w:hAnsi="Arial" w:cs="Arial"/>
        </w:rPr>
      </w:pPr>
      <w:r w:rsidRPr="00D43654">
        <w:rPr>
          <w:rFonts w:ascii="Arial" w:hAnsi="Arial" w:cs="Arial"/>
          <w:lang w:val="pt-PT"/>
        </w:rPr>
        <w:t>Para dar seguimento a esta festa que já se institualizou no calendário de festas do municipio tem</w:t>
      </w:r>
      <w:r w:rsidRPr="00D43654">
        <w:rPr>
          <w:rFonts w:ascii="Arial" w:hAnsi="Arial" w:cs="Arial"/>
        </w:rPr>
        <w:t xml:space="preserve"> o objetivo de contratação de empresa para prestação de serviço de sonorização para atender as necessidades da Secretaria Municipal de Educação e Cultura, para realização do Natal de Luz, que acontecerá na parte externa do Teatro Municipal Francisca Verônica de Carvalho nos dias: 02, 03, 09, 10, 16, 17, 23, 24, 30 de 2017.</w:t>
      </w:r>
    </w:p>
    <w:p w:rsidR="00EA44A5" w:rsidRPr="00D43654" w:rsidRDefault="00EA44A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297FA3">
        <w:rPr>
          <w:rFonts w:ascii="Arial" w:hAnsi="Arial" w:cs="Arial"/>
          <w:color w:val="000000" w:themeColor="text1"/>
        </w:rPr>
        <w:t>Educação e Cultura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</w:t>
      </w:r>
      <w:r w:rsidR="00297FA3">
        <w:rPr>
          <w:rFonts w:ascii="Arial" w:hAnsi="Arial" w:cs="Arial"/>
          <w:color w:val="000000" w:themeColor="text1"/>
        </w:rPr>
        <w:t>090</w:t>
      </w:r>
      <w:r w:rsidR="00FA19C4">
        <w:rPr>
          <w:rFonts w:ascii="Arial" w:hAnsi="Arial" w:cs="Arial"/>
          <w:color w:val="000000" w:themeColor="text1"/>
        </w:rPr>
        <w:t>. Elemento de despesa 33.90.</w:t>
      </w:r>
      <w:r w:rsidR="00B826AD">
        <w:rPr>
          <w:rFonts w:ascii="Arial" w:hAnsi="Arial" w:cs="Arial"/>
          <w:color w:val="000000" w:themeColor="text1"/>
        </w:rPr>
        <w:t>39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AB4CB9" w:rsidRPr="00D43654" w:rsidRDefault="00AB4CB9" w:rsidP="00D43654">
      <w:pPr>
        <w:pStyle w:val="Corpodetex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654">
        <w:rPr>
          <w:rFonts w:ascii="Arial" w:hAnsi="Arial" w:cs="Arial"/>
          <w:sz w:val="24"/>
          <w:szCs w:val="24"/>
        </w:rPr>
        <w:t>A fiscalização e supervisão serão executadas pela comissão nomeada através da Portaria n. 591/2017 designada pelo prefeito municipal, que deverá acompanhar a montagem das ornamentações natalinas nos locais designados pela prefeitura.</w:t>
      </w:r>
    </w:p>
    <w:p w:rsidR="002D07C7" w:rsidRDefault="002D07C7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exigências da fiscalização e a atuação da Comissão de Recebimento de Materiais da Prefeitura Municipal de Rolim de Moura em qualquer etapa da </w:t>
      </w:r>
      <w:r>
        <w:rPr>
          <w:rFonts w:ascii="Arial" w:hAnsi="Arial" w:cs="Arial"/>
          <w:color w:val="000000" w:themeColor="text1"/>
        </w:rPr>
        <w:lastRenderedPageBreak/>
        <w:t>execução do Contrato, em nada restringem a responsabilidade única, integral e exclusiva da contratada, no que concerne o atendimento ao Contrato.</w:t>
      </w:r>
    </w:p>
    <w:p w:rsidR="00126917" w:rsidRDefault="00126917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D43654" w:rsidRDefault="00D43654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43654" w:rsidRDefault="00D43654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D43654">
        <w:rPr>
          <w:rFonts w:ascii="Arial" w:hAnsi="Arial" w:cs="Arial"/>
        </w:rPr>
        <w:t>Fornecer sonorização qualificada para o trabalho proposto, dentro das técnicas em trabalhos deste gênero, nos termos da proposta e responder por todas as obrigações trabalhistas e previdenciárias referente à contratação dos serviços, objeto deste edital, bem como responderá por danos a terceiros.</w:t>
      </w:r>
    </w:p>
    <w:p w:rsidR="00D43654" w:rsidRPr="00D43654" w:rsidRDefault="00D43654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:rsidR="00D43654" w:rsidRDefault="00D43654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D43654">
        <w:rPr>
          <w:rFonts w:ascii="Arial" w:hAnsi="Arial" w:cs="Arial"/>
        </w:rPr>
        <w:t>Arcar com todas as despesas inerentes a execução do serviço solicitado, bem como os demais materiais necessários para execução do objeto; mão de obra para execução dos serviços, mesa de som, fios, cabos, microfones, etc.</w:t>
      </w:r>
    </w:p>
    <w:p w:rsidR="00D43654" w:rsidRPr="00D43654" w:rsidRDefault="00D43654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:rsidR="00D43654" w:rsidRDefault="00D43654" w:rsidP="00D43654">
      <w:pPr>
        <w:spacing w:line="360" w:lineRule="auto"/>
        <w:contextualSpacing/>
        <w:jc w:val="both"/>
        <w:rPr>
          <w:rFonts w:ascii="Arial" w:hAnsi="Arial" w:cs="Arial"/>
        </w:rPr>
      </w:pPr>
      <w:r w:rsidRPr="00D43654">
        <w:rPr>
          <w:rFonts w:ascii="Arial" w:hAnsi="Arial" w:cs="Arial"/>
        </w:rPr>
        <w:t xml:space="preserve">O Serviço de sonorização deverá ser realizado no mês de dezembro de </w:t>
      </w:r>
      <w:proofErr w:type="gramStart"/>
      <w:r w:rsidRPr="00D43654">
        <w:rPr>
          <w:rFonts w:ascii="Arial" w:hAnsi="Arial" w:cs="Arial"/>
        </w:rPr>
        <w:t>2017 no palco em frente ao Teatro Municipal Francisca Verônica</w:t>
      </w:r>
      <w:proofErr w:type="gramEnd"/>
      <w:r w:rsidRPr="00D43654">
        <w:rPr>
          <w:rFonts w:ascii="Arial" w:hAnsi="Arial" w:cs="Arial"/>
        </w:rPr>
        <w:t xml:space="preserve"> de Carvalho no município de Rolim de Moura/RO. As apresentações serão aos sábados e domingos, ou seja, 02, 03, 09, 10, 16, 17, 23, 24, 30 de</w:t>
      </w:r>
      <w:r w:rsidR="00C72447">
        <w:rPr>
          <w:rFonts w:ascii="Arial" w:hAnsi="Arial" w:cs="Arial"/>
        </w:rPr>
        <w:t xml:space="preserve"> dezembro</w:t>
      </w:r>
      <w:r w:rsidRPr="00D43654">
        <w:rPr>
          <w:rFonts w:ascii="Arial" w:hAnsi="Arial" w:cs="Arial"/>
        </w:rPr>
        <w:t xml:space="preserve"> 2017.</w:t>
      </w:r>
    </w:p>
    <w:p w:rsidR="00D43654" w:rsidRPr="00D43654" w:rsidRDefault="00D43654" w:rsidP="00D43654">
      <w:pPr>
        <w:spacing w:line="360" w:lineRule="auto"/>
        <w:contextualSpacing/>
        <w:jc w:val="both"/>
        <w:rPr>
          <w:rFonts w:ascii="Arial" w:hAnsi="Arial" w:cs="Arial"/>
        </w:rPr>
      </w:pPr>
    </w:p>
    <w:p w:rsidR="00EF722B" w:rsidRDefault="00EF722B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D43654" w:rsidRPr="00047B66" w:rsidRDefault="00D43654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C70636" w:rsidRDefault="00C70636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Responde por todas as obrigações trabalhistas e previdenciárias referente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contratação dos serviços, objeto deste edital.</w:t>
      </w:r>
    </w:p>
    <w:p w:rsidR="00EF722B" w:rsidRPr="00047B66" w:rsidRDefault="00EF722B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D43654">
        <w:rPr>
          <w:rFonts w:ascii="Arial" w:hAnsi="Arial" w:cs="Arial"/>
          <w:color w:val="000000" w:themeColor="text1"/>
        </w:rPr>
        <w:t>realização do serviço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D43654">
      <w:pPr>
        <w:pStyle w:val="Corpodetexto2"/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7023A3">
        <w:rPr>
          <w:rFonts w:ascii="Arial" w:hAnsi="Arial" w:cs="Arial"/>
          <w:color w:val="000000" w:themeColor="text1"/>
        </w:rPr>
        <w:t>9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7023A3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D43654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D43654">
      <w:pPr>
        <w:spacing w:line="360" w:lineRule="auto"/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D43654">
        <w:rPr>
          <w:rFonts w:ascii="Arial" w:hAnsi="Arial" w:cs="Arial"/>
          <w:color w:val="000000" w:themeColor="text1"/>
        </w:rPr>
        <w:t>29 de novembro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151026" w:rsidRPr="00047B66" w:rsidRDefault="00151026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D43654">
      <w:pPr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D43654" w:rsidP="00D43654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Paulo Jessé dos Santos Taveira</w:t>
      </w:r>
    </w:p>
    <w:p w:rsidR="00FD7D67" w:rsidRPr="00047B66" w:rsidRDefault="00D43654" w:rsidP="00D43654">
      <w:pPr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Vice-</w:t>
      </w:r>
      <w:r w:rsidR="00FD7D67"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D43654">
      <w:pPr>
        <w:spacing w:line="360" w:lineRule="auto"/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023A3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7023A3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D43654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D43654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D43654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D43654">
      <w:pPr>
        <w:tabs>
          <w:tab w:val="left" w:pos="6946"/>
        </w:tabs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D43654">
      <w:pPr>
        <w:tabs>
          <w:tab w:val="left" w:pos="6946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28"/>
        <w:gridCol w:w="1134"/>
        <w:gridCol w:w="992"/>
        <w:gridCol w:w="1417"/>
        <w:gridCol w:w="1418"/>
      </w:tblGrid>
      <w:tr w:rsidR="00D43654" w:rsidRPr="00B13D59" w:rsidTr="00D43654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Item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Quant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Valor Unit.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Valor Total</w:t>
            </w:r>
          </w:p>
        </w:tc>
      </w:tr>
      <w:tr w:rsidR="00D43654" w:rsidRPr="00B13D59" w:rsidTr="00D43654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D5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3654" w:rsidRDefault="00D43654" w:rsidP="00CF2549">
            <w:pPr>
              <w:pStyle w:val="Recuodecorpodetexto"/>
              <w:tabs>
                <w:tab w:val="left" w:pos="284"/>
              </w:tabs>
              <w:spacing w:after="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D59">
              <w:rPr>
                <w:rFonts w:ascii="Arial" w:hAnsi="Arial" w:cs="Arial"/>
                <w:sz w:val="22"/>
                <w:szCs w:val="22"/>
              </w:rPr>
              <w:t xml:space="preserve">Serviço de </w:t>
            </w:r>
            <w:r>
              <w:rPr>
                <w:rFonts w:ascii="Arial" w:hAnsi="Arial" w:cs="Arial"/>
                <w:sz w:val="22"/>
                <w:szCs w:val="22"/>
              </w:rPr>
              <w:t xml:space="preserve">sonorização contendo 02 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caixas de som grave e </w:t>
            </w:r>
            <w:r>
              <w:rPr>
                <w:rFonts w:ascii="Arial" w:hAnsi="Arial" w:cs="Arial"/>
                <w:sz w:val="22"/>
                <w:szCs w:val="22"/>
              </w:rPr>
              <w:t>04 caixas de som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médio;</w:t>
            </w:r>
            <w:r>
              <w:rPr>
                <w:rFonts w:ascii="Arial" w:hAnsi="Arial" w:cs="Arial"/>
                <w:sz w:val="22"/>
                <w:szCs w:val="22"/>
              </w:rPr>
              <w:t xml:space="preserve"> Mesa com mínimo de 20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canais;</w:t>
            </w:r>
            <w:r>
              <w:rPr>
                <w:rFonts w:ascii="Arial" w:hAnsi="Arial" w:cs="Arial"/>
                <w:sz w:val="22"/>
                <w:szCs w:val="22"/>
              </w:rPr>
              <w:t xml:space="preserve"> Mínimo de 05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microfones;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AFA">
              <w:rPr>
                <w:rFonts w:ascii="Arial" w:hAnsi="Arial" w:cs="Arial"/>
                <w:sz w:val="22"/>
                <w:szCs w:val="22"/>
              </w:rPr>
              <w:t>para atender as necessidades da Secretaria Municipal de Educação e Cultura</w:t>
            </w:r>
            <w:r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Pr="004A3AFA">
              <w:rPr>
                <w:rFonts w:ascii="Arial" w:hAnsi="Arial" w:cs="Arial"/>
                <w:sz w:val="22"/>
                <w:szCs w:val="22"/>
              </w:rPr>
              <w:t xml:space="preserve"> realização do Natal de Luz, que acontecerá na parte externa do Teatro Municipal Francisca Verônica de Carvalho, </w:t>
            </w:r>
            <w:r>
              <w:rPr>
                <w:rFonts w:ascii="Arial" w:hAnsi="Arial" w:cs="Arial"/>
                <w:sz w:val="22"/>
                <w:szCs w:val="22"/>
              </w:rPr>
              <w:t xml:space="preserve">nos dias </w:t>
            </w:r>
            <w:r w:rsidRPr="00115EB5">
              <w:rPr>
                <w:rFonts w:ascii="Arial" w:hAnsi="Arial" w:cs="Arial"/>
                <w:sz w:val="22"/>
                <w:szCs w:val="22"/>
              </w:rPr>
              <w:t>02, 03, 09, 10, 16, 17, 23,</w:t>
            </w:r>
            <w:r>
              <w:rPr>
                <w:rFonts w:ascii="Arial" w:hAnsi="Arial" w:cs="Arial"/>
                <w:sz w:val="22"/>
                <w:szCs w:val="22"/>
              </w:rPr>
              <w:t xml:space="preserve"> 24, 30 de</w:t>
            </w:r>
            <w:r w:rsidR="00234684">
              <w:rPr>
                <w:rFonts w:ascii="Arial" w:hAnsi="Arial" w:cs="Arial"/>
                <w:sz w:val="22"/>
                <w:szCs w:val="22"/>
              </w:rPr>
              <w:t xml:space="preserve"> dezembro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5EB5">
              <w:rPr>
                <w:rFonts w:ascii="Arial" w:hAnsi="Arial" w:cs="Arial"/>
                <w:sz w:val="22"/>
                <w:szCs w:val="22"/>
              </w:rPr>
              <w:t>2017.</w:t>
            </w:r>
          </w:p>
          <w:p w:rsidR="00D43654" w:rsidRPr="00EC2F96" w:rsidRDefault="00D43654" w:rsidP="00CF25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D59">
              <w:rPr>
                <w:rFonts w:ascii="Arial" w:hAnsi="Arial" w:cs="Arial"/>
                <w:color w:val="000000"/>
                <w:sz w:val="22"/>
                <w:szCs w:val="22"/>
              </w:rPr>
              <w:t>Serviço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7D67" w:rsidRDefault="00FD7D67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D43654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ED35E1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 valor Total deverá ser calculado considerando os nove dias de evento</w:t>
      </w:r>
    </w:p>
    <w:p w:rsidR="00C77340" w:rsidRPr="00047B66" w:rsidRDefault="00C77340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D43654">
      <w:pPr>
        <w:pStyle w:val="Rodap"/>
        <w:spacing w:line="360" w:lineRule="auto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D43654">
      <w:pPr>
        <w:pStyle w:val="Rodap"/>
        <w:spacing w:line="360" w:lineRule="auto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D43654">
      <w:pPr>
        <w:pStyle w:val="Rodap"/>
        <w:spacing w:line="360" w:lineRule="auto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828"/>
        <w:gridCol w:w="1134"/>
        <w:gridCol w:w="992"/>
        <w:gridCol w:w="1417"/>
        <w:gridCol w:w="1418"/>
      </w:tblGrid>
      <w:tr w:rsidR="00D43654" w:rsidRPr="00B13D59" w:rsidTr="00D43654">
        <w:trPr>
          <w:trHeight w:val="450"/>
        </w:trPr>
        <w:tc>
          <w:tcPr>
            <w:tcW w:w="1134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Item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Descrição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Unidade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Quant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Valor Unit.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B13D5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Valor Total</w:t>
            </w:r>
          </w:p>
        </w:tc>
      </w:tr>
      <w:tr w:rsidR="00D43654" w:rsidRPr="00B13D59" w:rsidTr="00D4365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D5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3654" w:rsidRDefault="00D43654" w:rsidP="00CF2549">
            <w:pPr>
              <w:pStyle w:val="Recuodecorpodetexto"/>
              <w:tabs>
                <w:tab w:val="left" w:pos="284"/>
              </w:tabs>
              <w:spacing w:after="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D59">
              <w:rPr>
                <w:rFonts w:ascii="Arial" w:hAnsi="Arial" w:cs="Arial"/>
                <w:sz w:val="22"/>
                <w:szCs w:val="22"/>
              </w:rPr>
              <w:t xml:space="preserve">Serviço de </w:t>
            </w:r>
            <w:r>
              <w:rPr>
                <w:rFonts w:ascii="Arial" w:hAnsi="Arial" w:cs="Arial"/>
                <w:sz w:val="22"/>
                <w:szCs w:val="22"/>
              </w:rPr>
              <w:t xml:space="preserve">sonorização contendo 02 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caixas de som grave e </w:t>
            </w:r>
            <w:r>
              <w:rPr>
                <w:rFonts w:ascii="Arial" w:hAnsi="Arial" w:cs="Arial"/>
                <w:sz w:val="22"/>
                <w:szCs w:val="22"/>
              </w:rPr>
              <w:t>04 caixas de som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médio;</w:t>
            </w:r>
            <w:r>
              <w:rPr>
                <w:rFonts w:ascii="Arial" w:hAnsi="Arial" w:cs="Arial"/>
                <w:sz w:val="22"/>
                <w:szCs w:val="22"/>
              </w:rPr>
              <w:t xml:space="preserve"> Mesa com mínimo de 20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canais;</w:t>
            </w:r>
            <w:r>
              <w:rPr>
                <w:rFonts w:ascii="Arial" w:hAnsi="Arial" w:cs="Arial"/>
                <w:sz w:val="22"/>
                <w:szCs w:val="22"/>
              </w:rPr>
              <w:t xml:space="preserve"> Mínimo de 05</w:t>
            </w:r>
            <w:r w:rsidRPr="00483BC6">
              <w:rPr>
                <w:rFonts w:ascii="Arial" w:hAnsi="Arial" w:cs="Arial"/>
                <w:sz w:val="22"/>
                <w:szCs w:val="22"/>
              </w:rPr>
              <w:t xml:space="preserve"> microfones;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AFA">
              <w:rPr>
                <w:rFonts w:ascii="Arial" w:hAnsi="Arial" w:cs="Arial"/>
                <w:sz w:val="22"/>
                <w:szCs w:val="22"/>
              </w:rPr>
              <w:t>para atender as necessidades da Secretaria Municipal de Educação e Cultura</w:t>
            </w:r>
            <w:r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Pr="004A3AFA">
              <w:rPr>
                <w:rFonts w:ascii="Arial" w:hAnsi="Arial" w:cs="Arial"/>
                <w:sz w:val="22"/>
                <w:szCs w:val="22"/>
              </w:rPr>
              <w:t xml:space="preserve"> realização do Natal de Luz, que acontecerá na parte externa do Teatro Municipal Francisca Verônica de Carvalho, </w:t>
            </w:r>
            <w:r>
              <w:rPr>
                <w:rFonts w:ascii="Arial" w:hAnsi="Arial" w:cs="Arial"/>
                <w:sz w:val="22"/>
                <w:szCs w:val="22"/>
              </w:rPr>
              <w:t xml:space="preserve">nos dias </w:t>
            </w:r>
            <w:r w:rsidRPr="00115EB5">
              <w:rPr>
                <w:rFonts w:ascii="Arial" w:hAnsi="Arial" w:cs="Arial"/>
                <w:sz w:val="22"/>
                <w:szCs w:val="22"/>
              </w:rPr>
              <w:t>02, 03, 09, 10, 16, 17, 23,</w:t>
            </w:r>
            <w:r>
              <w:rPr>
                <w:rFonts w:ascii="Arial" w:hAnsi="Arial" w:cs="Arial"/>
                <w:sz w:val="22"/>
                <w:szCs w:val="22"/>
              </w:rPr>
              <w:t xml:space="preserve"> 24, 30 de </w:t>
            </w:r>
            <w:r w:rsidR="00234684">
              <w:rPr>
                <w:rFonts w:ascii="Arial" w:hAnsi="Arial" w:cs="Arial"/>
                <w:sz w:val="22"/>
                <w:szCs w:val="22"/>
              </w:rPr>
              <w:t xml:space="preserve">dezembro </w:t>
            </w:r>
            <w:r w:rsidRPr="00115EB5">
              <w:rPr>
                <w:rFonts w:ascii="Arial" w:hAnsi="Arial" w:cs="Arial"/>
                <w:sz w:val="22"/>
                <w:szCs w:val="22"/>
              </w:rPr>
              <w:t>2017.</w:t>
            </w:r>
          </w:p>
          <w:p w:rsidR="00D43654" w:rsidRPr="00EC2F96" w:rsidRDefault="00D43654" w:rsidP="00CF254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3D59">
              <w:rPr>
                <w:rFonts w:ascii="Arial" w:hAnsi="Arial" w:cs="Arial"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54" w:rsidRPr="00B13D59" w:rsidRDefault="007834AE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654" w:rsidRPr="00B13D59" w:rsidRDefault="007834AE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5.700,00</w:t>
            </w:r>
          </w:p>
        </w:tc>
      </w:tr>
      <w:tr w:rsidR="00D43654" w:rsidRPr="00B13D59" w:rsidTr="00D4365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43654" w:rsidRPr="00D43654" w:rsidRDefault="00D43654" w:rsidP="00CF2549">
            <w:pPr>
              <w:pStyle w:val="Recuodecorpodetexto"/>
              <w:tabs>
                <w:tab w:val="left" w:pos="284"/>
              </w:tabs>
              <w:spacing w:after="0"/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654" w:rsidRPr="00B13D59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3654" w:rsidRDefault="00D43654" w:rsidP="00CF2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3654" w:rsidRDefault="00D43654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654" w:rsidRDefault="007834AE" w:rsidP="00CF254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5.700,00</w:t>
            </w:r>
          </w:p>
        </w:tc>
      </w:tr>
    </w:tbl>
    <w:p w:rsidR="00F53C59" w:rsidRDefault="00F53C59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834AE" w:rsidRDefault="007834A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834AE" w:rsidRPr="00047B66" w:rsidRDefault="007834AE" w:rsidP="007834AE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 valor Total deverá ser calculado considerando os nove dias de evento</w:t>
      </w:r>
    </w:p>
    <w:p w:rsidR="007834AE" w:rsidRPr="00047B66" w:rsidRDefault="007834AE" w:rsidP="00D43654">
      <w:pPr>
        <w:pStyle w:val="Rodap"/>
        <w:spacing w:line="360" w:lineRule="auto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7834AE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</w:t>
    </w:r>
    <w:r w:rsidR="002E0FBD">
      <w:rPr>
        <w:rFonts w:ascii="Arial" w:hAnsi="Arial" w:cs="Arial"/>
        <w:b/>
        <w:bCs/>
        <w:color w:val="808080"/>
        <w:sz w:val="18"/>
      </w:rPr>
      <w:t>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0B0803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87042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VUuQIAAL8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" filled="f" stroked="f">
          <v:textbox style="mso-fit-shape-to-text:t">
            <w:txbxContent>
              <w:p w:rsidR="00EF722B" w:rsidRPr="00D93BAB" w:rsidRDefault="00297FA3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87041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297FA3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6224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7044"/>
    <o:shapelayout v:ext="edit">
      <o:idmap v:ext="edit" data="85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0803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3662D"/>
    <w:rsid w:val="0014113A"/>
    <w:rsid w:val="001422C4"/>
    <w:rsid w:val="00142DCC"/>
    <w:rsid w:val="00151026"/>
    <w:rsid w:val="00155979"/>
    <w:rsid w:val="0015599A"/>
    <w:rsid w:val="0015703B"/>
    <w:rsid w:val="00163C90"/>
    <w:rsid w:val="0016533B"/>
    <w:rsid w:val="00166760"/>
    <w:rsid w:val="0016712E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0498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34684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97FA3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676D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5E78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47C2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5C7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023A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35E3"/>
    <w:rsid w:val="00764567"/>
    <w:rsid w:val="00771091"/>
    <w:rsid w:val="00771220"/>
    <w:rsid w:val="007765DE"/>
    <w:rsid w:val="00777755"/>
    <w:rsid w:val="00777AF9"/>
    <w:rsid w:val="007834AE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16F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25530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9778F"/>
    <w:rsid w:val="00AA1988"/>
    <w:rsid w:val="00AA2E38"/>
    <w:rsid w:val="00AB13BF"/>
    <w:rsid w:val="00AB4251"/>
    <w:rsid w:val="00AB4CB9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D3C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6AD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0636"/>
    <w:rsid w:val="00C71A96"/>
    <w:rsid w:val="00C72447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654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D35E1"/>
    <w:rsid w:val="00EE183C"/>
    <w:rsid w:val="00EE28C8"/>
    <w:rsid w:val="00EE55CB"/>
    <w:rsid w:val="00EF1CCC"/>
    <w:rsid w:val="00EF4B76"/>
    <w:rsid w:val="00EF722B"/>
    <w:rsid w:val="00F0089B"/>
    <w:rsid w:val="00F05558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C637C"/>
    <w:rsid w:val="00FD7D67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AB4C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4CB9"/>
    <w:rPr>
      <w:rFonts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AB4C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4CB9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58A-2159-413C-A874-E604828C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2017-11-30T15:48:00Z</cp:lastPrinted>
  <dcterms:created xsi:type="dcterms:W3CDTF">2017-11-30T19:19:00Z</dcterms:created>
  <dcterms:modified xsi:type="dcterms:W3CDTF">2017-11-30T19:19:00Z</dcterms:modified>
</cp:coreProperties>
</file>